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79" w:rsidRPr="00416CB2" w:rsidRDefault="00B55C79" w:rsidP="00B55C79">
      <w:pPr>
        <w:rPr>
          <w:rFonts w:ascii="Arial" w:hAnsi="Arial" w:cs="Arial"/>
          <w:b/>
        </w:rPr>
      </w:pPr>
      <w:r w:rsidRPr="00416CB2">
        <w:rPr>
          <w:rFonts w:ascii="Arial" w:hAnsi="Arial" w:cs="Arial"/>
          <w:b/>
        </w:rPr>
        <w:t xml:space="preserve">OSNOVNA ŠKOLA VLADIMIRA NAZORA POTPIĆAN, OIB 14237019602 </w:t>
      </w:r>
    </w:p>
    <w:p w:rsidR="00F248F2" w:rsidRPr="00416CB2" w:rsidRDefault="00F248F2" w:rsidP="00B55C79">
      <w:pPr>
        <w:rPr>
          <w:rFonts w:ascii="Arial" w:hAnsi="Arial" w:cs="Arial"/>
          <w:b/>
        </w:rPr>
      </w:pPr>
      <w:r w:rsidRPr="00416CB2">
        <w:rPr>
          <w:rFonts w:ascii="Arial" w:hAnsi="Arial" w:cs="Arial"/>
          <w:b/>
        </w:rPr>
        <w:t>DUMBROVA  12,  52333 POTPIĆAN</w:t>
      </w:r>
    </w:p>
    <w:p w:rsidR="00B55C79" w:rsidRPr="00416CB2" w:rsidRDefault="00B55C79" w:rsidP="00B55C79">
      <w:pPr>
        <w:rPr>
          <w:rFonts w:ascii="Arial" w:hAnsi="Arial" w:cs="Arial"/>
        </w:rPr>
      </w:pPr>
    </w:p>
    <w:p w:rsidR="00F248F2" w:rsidRPr="00416CB2" w:rsidRDefault="00B55C79" w:rsidP="00F248F2">
      <w:pPr>
        <w:jc w:val="center"/>
        <w:rPr>
          <w:rFonts w:ascii="Arial" w:hAnsi="Arial" w:cs="Arial"/>
          <w:b/>
        </w:rPr>
      </w:pPr>
      <w:r w:rsidRPr="00416CB2">
        <w:rPr>
          <w:rFonts w:ascii="Arial" w:hAnsi="Arial" w:cs="Arial"/>
          <w:b/>
        </w:rPr>
        <w:t xml:space="preserve">OBRAZLOŽENJE  OPĆEG  DIJELA   </w:t>
      </w:r>
      <w:r w:rsidR="00F248F2" w:rsidRPr="00416CB2">
        <w:rPr>
          <w:rFonts w:ascii="Arial" w:hAnsi="Arial" w:cs="Arial"/>
          <w:b/>
        </w:rPr>
        <w:t xml:space="preserve">POLUGODIŠNJEG IZVJEŠTAJA O IZVRŠENJU FINANCIJSKOG </w:t>
      </w:r>
      <w:r w:rsidR="00A13676">
        <w:rPr>
          <w:rFonts w:ascii="Arial" w:hAnsi="Arial" w:cs="Arial"/>
          <w:b/>
        </w:rPr>
        <w:t>PLANA ZA RAZDOBLJE OD 01.01.2025. DO 30.06.2025</w:t>
      </w:r>
      <w:r w:rsidR="00F248F2" w:rsidRPr="00416CB2">
        <w:rPr>
          <w:rFonts w:ascii="Arial" w:hAnsi="Arial" w:cs="Arial"/>
          <w:b/>
        </w:rPr>
        <w:t>.</w:t>
      </w:r>
    </w:p>
    <w:p w:rsidR="001F2090" w:rsidRDefault="001F2090" w:rsidP="00B55C79"/>
    <w:p w:rsidR="001F2090" w:rsidRPr="00416CB2" w:rsidRDefault="001F2090" w:rsidP="001F2090">
      <w:pPr>
        <w:spacing w:after="0"/>
        <w:rPr>
          <w:rFonts w:ascii="Arial" w:hAnsi="Arial" w:cs="Arial"/>
        </w:rPr>
      </w:pPr>
      <w:r w:rsidRPr="00416CB2">
        <w:rPr>
          <w:rFonts w:ascii="Arial" w:hAnsi="Arial" w:cs="Arial"/>
        </w:rPr>
        <w:t>Osnovna škola obavlja osnovnu djelatnost odgoja i obrazovanja sukladno odredbama Zakona o odgoju i obrazovanju u osnovnoj i srednjoj školi te obavlja i vlastitu djelatnost zakupa poslovnog prostora.</w:t>
      </w:r>
    </w:p>
    <w:p w:rsidR="001F2090" w:rsidRPr="00416CB2" w:rsidRDefault="001F2090" w:rsidP="001F2090">
      <w:pPr>
        <w:spacing w:after="0"/>
        <w:rPr>
          <w:rFonts w:ascii="Arial" w:hAnsi="Arial" w:cs="Arial"/>
        </w:rPr>
      </w:pPr>
      <w:r w:rsidRPr="00416CB2">
        <w:rPr>
          <w:rFonts w:ascii="Arial" w:hAnsi="Arial" w:cs="Arial"/>
        </w:rPr>
        <w:t>Polugodišnji izvještaj o izvr</w:t>
      </w:r>
      <w:r w:rsidR="00E73624">
        <w:rPr>
          <w:rFonts w:ascii="Arial" w:hAnsi="Arial" w:cs="Arial"/>
        </w:rPr>
        <w:t>šenju financijskog plana za 2025</w:t>
      </w:r>
      <w:r w:rsidRPr="00416CB2">
        <w:rPr>
          <w:rFonts w:ascii="Arial" w:hAnsi="Arial" w:cs="Arial"/>
        </w:rPr>
        <w:t>.godinu Škola izrađuje sukladno odredbama Zakona o proračunu (</w:t>
      </w:r>
      <w:proofErr w:type="spellStart"/>
      <w:r w:rsidRPr="00416CB2">
        <w:rPr>
          <w:rFonts w:ascii="Arial" w:hAnsi="Arial" w:cs="Arial"/>
        </w:rPr>
        <w:t>Nor.nov</w:t>
      </w:r>
      <w:proofErr w:type="spellEnd"/>
      <w:r w:rsidRPr="00416CB2">
        <w:rPr>
          <w:rFonts w:ascii="Arial" w:hAnsi="Arial" w:cs="Arial"/>
        </w:rPr>
        <w:t xml:space="preserve">., br.144/21) te Pravilnika o polugodišnjem </w:t>
      </w:r>
      <w:r w:rsidR="006D5DC5" w:rsidRPr="00416CB2">
        <w:rPr>
          <w:rFonts w:ascii="Arial" w:hAnsi="Arial" w:cs="Arial"/>
        </w:rPr>
        <w:t xml:space="preserve"> i godišnjem izvještaju o izvršenju proračuna i financijskog plana</w:t>
      </w:r>
      <w:r w:rsidR="00BA611E">
        <w:rPr>
          <w:rFonts w:ascii="Arial" w:hAnsi="Arial" w:cs="Arial"/>
        </w:rPr>
        <w:t xml:space="preserve"> (Nar.nov.37/22)</w:t>
      </w:r>
      <w:r w:rsidR="006D5DC5" w:rsidRPr="00416CB2">
        <w:rPr>
          <w:rFonts w:ascii="Arial" w:hAnsi="Arial" w:cs="Arial"/>
        </w:rPr>
        <w:t>.</w:t>
      </w:r>
    </w:p>
    <w:p w:rsidR="00B55C79" w:rsidRDefault="00B55C79" w:rsidP="00B55C79"/>
    <w:p w:rsidR="00B55C79" w:rsidRDefault="00B55C79" w:rsidP="00B55C79">
      <w:pPr>
        <w:rPr>
          <w:rFonts w:ascii="Arial" w:hAnsi="Arial" w:cs="Arial"/>
          <w:b/>
        </w:rPr>
      </w:pPr>
      <w:r w:rsidRPr="00416CB2">
        <w:rPr>
          <w:rFonts w:ascii="Arial" w:hAnsi="Arial" w:cs="Arial"/>
          <w:b/>
        </w:rPr>
        <w:t>1.</w:t>
      </w:r>
      <w:r w:rsidRPr="00416CB2">
        <w:rPr>
          <w:rFonts w:ascii="Arial" w:hAnsi="Arial" w:cs="Arial"/>
          <w:b/>
        </w:rPr>
        <w:tab/>
        <w:t>OPĆENITO O IZVRŠENJU  PRORAČUNA PRORAČUNSKOG  KORISNIKA</w:t>
      </w:r>
    </w:p>
    <w:p w:rsidR="00DF7310" w:rsidRDefault="00DF7310" w:rsidP="00B55C79">
      <w:pPr>
        <w:rPr>
          <w:rFonts w:ascii="Arial" w:hAnsi="Arial" w:cs="Arial"/>
          <w:b/>
        </w:rPr>
      </w:pPr>
    </w:p>
    <w:p w:rsidR="00DF7310" w:rsidRPr="004B5489" w:rsidRDefault="00DF7310" w:rsidP="00DF7310">
      <w:pPr>
        <w:keepNext/>
        <w:spacing w:after="0" w:line="240" w:lineRule="auto"/>
        <w:rPr>
          <w:rFonts w:ascii="Arial" w:hAnsi="Arial" w:cs="Arial"/>
        </w:rPr>
      </w:pPr>
      <w:r w:rsidRPr="004B5489">
        <w:rPr>
          <w:rFonts w:ascii="Arial" w:hAnsi="Arial" w:cs="Arial"/>
          <w:b/>
        </w:rPr>
        <w:t>Izvještaj o prihodima i rashodima, primicima i izdacima</w:t>
      </w:r>
    </w:p>
    <w:p w:rsidR="00DF7310" w:rsidRPr="004B5489" w:rsidRDefault="00DF7310" w:rsidP="00DF7310">
      <w:pPr>
        <w:keepNext/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1860"/>
        <w:gridCol w:w="1860"/>
        <w:gridCol w:w="700"/>
      </w:tblGrid>
      <w:tr w:rsidR="001C7C21" w:rsidRPr="004B5489" w:rsidTr="006D3A81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 xml:space="preserve">Račun iz </w:t>
            </w:r>
            <w:proofErr w:type="spellStart"/>
            <w:r w:rsidRPr="004B5489">
              <w:rPr>
                <w:rFonts w:ascii="Arial" w:hAnsi="Arial" w:cs="Arial"/>
                <w:b/>
              </w:rPr>
              <w:t>rač</w:t>
            </w:r>
            <w:proofErr w:type="spellEnd"/>
            <w:r w:rsidRPr="004B5489">
              <w:rPr>
                <w:rFonts w:ascii="Arial" w:hAnsi="Arial" w:cs="Arial"/>
                <w:b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Opis stavke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Indeks (%)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 xml:space="preserve">PRIHODI POSLOVANJA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646.484,16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775.312,87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119,9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 xml:space="preserve">RASHODI POSLOVANJA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658.047,51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880.633,99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133,8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 xml:space="preserve">MANJAK PRIHODA POSLOVANJA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11.563,35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105.321,12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910,8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 xml:space="preserve">Prihodi od prodaje nefinancijske imovine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-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 xml:space="preserve">Rashodi za nabavu nefinancijske imovine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4.884,68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2.828,17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57,9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 xml:space="preserve">MANJAK PRIHODA OD NEFINANCIJSKE IMOVINE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4.884,68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2.828,17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57,9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 xml:space="preserve">Primici od financijske imovine i zaduživanja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-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 xml:space="preserve">Izdaci za financijsku imovinu i otplate zajmova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</w:rPr>
              <w:t>-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 xml:space="preserve">VIŠAK/MANJAK PRIMITAKA OD FINANCIJSKE IMOVINE I ZADUŽIVANJA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-</w:t>
            </w:r>
          </w:p>
        </w:tc>
      </w:tr>
      <w:tr w:rsidR="001C7C21" w:rsidRPr="004B5489" w:rsidTr="006D3A81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DF7310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 xml:space="preserve">MANJAK PRIHODA I PRIMITAKA 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16.448,03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108.149,29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C7C21" w:rsidRPr="004B5489" w:rsidRDefault="001C7C21" w:rsidP="006D3A8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</w:rPr>
            </w:pPr>
            <w:r w:rsidRPr="004B5489">
              <w:rPr>
                <w:rFonts w:ascii="Arial" w:hAnsi="Arial" w:cs="Arial"/>
                <w:b/>
              </w:rPr>
              <w:t>657,5</w:t>
            </w:r>
          </w:p>
        </w:tc>
      </w:tr>
    </w:tbl>
    <w:p w:rsidR="00DF7310" w:rsidRPr="00416CB2" w:rsidRDefault="00DF7310" w:rsidP="00B55C79">
      <w:pPr>
        <w:rPr>
          <w:rFonts w:ascii="Arial" w:hAnsi="Arial" w:cs="Arial"/>
          <w:b/>
        </w:rPr>
      </w:pPr>
    </w:p>
    <w:p w:rsidR="00B55C79" w:rsidRPr="00416CB2" w:rsidRDefault="00B55C79" w:rsidP="00B55C79">
      <w:pPr>
        <w:rPr>
          <w:rFonts w:ascii="Arial" w:hAnsi="Arial" w:cs="Arial"/>
        </w:rPr>
      </w:pPr>
      <w:r w:rsidRPr="00416CB2">
        <w:rPr>
          <w:rFonts w:ascii="Arial" w:hAnsi="Arial" w:cs="Arial"/>
        </w:rPr>
        <w:lastRenderedPageBreak/>
        <w:t>Ukupni  prihodi i primici OŠ Vladimira Nazora  na dan 30.06.202</w:t>
      </w:r>
      <w:r w:rsidR="00BA611E">
        <w:rPr>
          <w:rFonts w:ascii="Arial" w:hAnsi="Arial" w:cs="Arial"/>
        </w:rPr>
        <w:t>5</w:t>
      </w:r>
      <w:r w:rsidRPr="00416CB2">
        <w:rPr>
          <w:rFonts w:ascii="Arial" w:hAnsi="Arial" w:cs="Arial"/>
        </w:rPr>
        <w:t xml:space="preserve">. godini ostvareni su u iznosu od </w:t>
      </w:r>
      <w:r w:rsidR="00BA611E">
        <w:rPr>
          <w:rFonts w:ascii="Arial" w:hAnsi="Arial" w:cs="Arial"/>
        </w:rPr>
        <w:t>775.312,87</w:t>
      </w:r>
      <w:r w:rsidRPr="00416CB2">
        <w:rPr>
          <w:rFonts w:ascii="Arial" w:hAnsi="Arial" w:cs="Arial"/>
        </w:rPr>
        <w:t xml:space="preserve"> EUR odnosno na razini od </w:t>
      </w:r>
      <w:r w:rsidR="00BA611E">
        <w:rPr>
          <w:rFonts w:ascii="Arial" w:hAnsi="Arial" w:cs="Arial"/>
        </w:rPr>
        <w:t>45,35</w:t>
      </w:r>
      <w:r w:rsidRPr="00416CB2">
        <w:rPr>
          <w:rFonts w:ascii="Arial" w:hAnsi="Arial" w:cs="Arial"/>
        </w:rPr>
        <w:t>% godišnjeg izvornog plana za 202</w:t>
      </w:r>
      <w:r w:rsidR="00BA611E">
        <w:rPr>
          <w:rFonts w:ascii="Arial" w:hAnsi="Arial" w:cs="Arial"/>
        </w:rPr>
        <w:t>5</w:t>
      </w:r>
      <w:r w:rsidRPr="00416CB2">
        <w:rPr>
          <w:rFonts w:ascii="Arial" w:hAnsi="Arial" w:cs="Arial"/>
        </w:rPr>
        <w:t xml:space="preserve">.god. U odnosu na prethodno razdoblje zabilježen je rast od </w:t>
      </w:r>
      <w:r w:rsidR="00BA611E">
        <w:rPr>
          <w:rFonts w:ascii="Arial" w:hAnsi="Arial" w:cs="Arial"/>
        </w:rPr>
        <w:t>119,93</w:t>
      </w:r>
      <w:r w:rsidRPr="00416CB2">
        <w:rPr>
          <w:rFonts w:ascii="Arial" w:hAnsi="Arial" w:cs="Arial"/>
        </w:rPr>
        <w:t xml:space="preserve"> %. Ukupne prihode škole čine prihodi poslovanja</w:t>
      </w:r>
      <w:r w:rsidR="001F2090" w:rsidRPr="00416CB2">
        <w:rPr>
          <w:rFonts w:ascii="Arial" w:hAnsi="Arial" w:cs="Arial"/>
        </w:rPr>
        <w:t>.</w:t>
      </w:r>
      <w:r w:rsidRPr="00416CB2">
        <w:rPr>
          <w:rFonts w:ascii="Arial" w:hAnsi="Arial" w:cs="Arial"/>
        </w:rPr>
        <w:t xml:space="preserve">  Ostvareni rashodi na dan 30.06.202</w:t>
      </w:r>
      <w:r w:rsidR="00BA611E">
        <w:rPr>
          <w:rFonts w:ascii="Arial" w:hAnsi="Arial" w:cs="Arial"/>
        </w:rPr>
        <w:t>5</w:t>
      </w:r>
      <w:r w:rsidRPr="00416CB2">
        <w:rPr>
          <w:rFonts w:ascii="Arial" w:hAnsi="Arial" w:cs="Arial"/>
        </w:rPr>
        <w:t xml:space="preserve">.godine  iznose </w:t>
      </w:r>
      <w:r w:rsidR="00BA611E">
        <w:rPr>
          <w:rFonts w:ascii="Arial" w:hAnsi="Arial" w:cs="Arial"/>
        </w:rPr>
        <w:t>883.462,16</w:t>
      </w:r>
      <w:r w:rsidRPr="00416CB2">
        <w:rPr>
          <w:rFonts w:ascii="Arial" w:hAnsi="Arial" w:cs="Arial"/>
        </w:rPr>
        <w:t xml:space="preserve"> EUR što je </w:t>
      </w:r>
      <w:r w:rsidR="005A3A37">
        <w:rPr>
          <w:rFonts w:ascii="Arial" w:hAnsi="Arial" w:cs="Arial"/>
        </w:rPr>
        <w:t>133,27</w:t>
      </w:r>
      <w:r w:rsidRPr="00416CB2">
        <w:rPr>
          <w:rFonts w:ascii="Arial" w:hAnsi="Arial" w:cs="Arial"/>
        </w:rPr>
        <w:t xml:space="preserve"> % više od istog razdoblja prethodne godine.</w:t>
      </w:r>
    </w:p>
    <w:p w:rsidR="00B55C79" w:rsidRPr="00416CB2" w:rsidRDefault="00B55C79" w:rsidP="00B55C79">
      <w:pPr>
        <w:rPr>
          <w:rFonts w:ascii="Arial" w:hAnsi="Arial" w:cs="Arial"/>
        </w:rPr>
      </w:pPr>
      <w:r w:rsidRPr="00416CB2">
        <w:rPr>
          <w:rFonts w:ascii="Arial" w:hAnsi="Arial" w:cs="Arial"/>
        </w:rPr>
        <w:t>Stanje novčanih sredstava na poslovnom računu na dan 30.06.202</w:t>
      </w:r>
      <w:r w:rsidR="005A3A37">
        <w:rPr>
          <w:rFonts w:ascii="Arial" w:hAnsi="Arial" w:cs="Arial"/>
        </w:rPr>
        <w:t>5</w:t>
      </w:r>
      <w:r w:rsidRPr="00416CB2">
        <w:rPr>
          <w:rFonts w:ascii="Arial" w:hAnsi="Arial" w:cs="Arial"/>
        </w:rPr>
        <w:t xml:space="preserve">. iznosi </w:t>
      </w:r>
      <w:r w:rsidR="005A3A37">
        <w:rPr>
          <w:rFonts w:ascii="Arial" w:hAnsi="Arial" w:cs="Arial"/>
        </w:rPr>
        <w:t>8.094,26</w:t>
      </w:r>
      <w:r w:rsidRPr="00416CB2">
        <w:rPr>
          <w:rFonts w:ascii="Arial" w:hAnsi="Arial" w:cs="Arial"/>
        </w:rPr>
        <w:t xml:space="preserve"> EUR.</w:t>
      </w:r>
    </w:p>
    <w:p w:rsidR="00B55C79" w:rsidRPr="00416CB2" w:rsidRDefault="00B55C79" w:rsidP="00B55C79">
      <w:pPr>
        <w:rPr>
          <w:rFonts w:ascii="Arial" w:hAnsi="Arial" w:cs="Arial"/>
        </w:rPr>
      </w:pPr>
      <w:r w:rsidRPr="00416CB2">
        <w:rPr>
          <w:rFonts w:ascii="Arial" w:hAnsi="Arial" w:cs="Arial"/>
        </w:rPr>
        <w:t>Ostvaren je manjak prihoda nad rashodima u razdoblju od 01-06/202</w:t>
      </w:r>
      <w:r w:rsidR="005A3A37">
        <w:rPr>
          <w:rFonts w:ascii="Arial" w:hAnsi="Arial" w:cs="Arial"/>
        </w:rPr>
        <w:t>5</w:t>
      </w:r>
      <w:r w:rsidRPr="00416CB2">
        <w:rPr>
          <w:rFonts w:ascii="Arial" w:hAnsi="Arial" w:cs="Arial"/>
        </w:rPr>
        <w:t xml:space="preserve">.god.u iznosu od </w:t>
      </w:r>
      <w:r w:rsidR="005A3A37">
        <w:rPr>
          <w:rFonts w:ascii="Arial" w:hAnsi="Arial" w:cs="Arial"/>
        </w:rPr>
        <w:t>108.149,29</w:t>
      </w:r>
      <w:r w:rsidRPr="00416CB2">
        <w:rPr>
          <w:rFonts w:ascii="Arial" w:hAnsi="Arial" w:cs="Arial"/>
        </w:rPr>
        <w:t xml:space="preserve"> EUR. Manjak prihoda i primitka u slijedećem razdoblju iznosi </w:t>
      </w:r>
      <w:r w:rsidR="005A3A37">
        <w:rPr>
          <w:rFonts w:ascii="Arial" w:hAnsi="Arial" w:cs="Arial"/>
        </w:rPr>
        <w:t>102.858,78</w:t>
      </w:r>
      <w:r w:rsidRPr="00416CB2">
        <w:rPr>
          <w:rFonts w:ascii="Arial" w:hAnsi="Arial" w:cs="Arial"/>
        </w:rPr>
        <w:t xml:space="preserve"> EUR, a nastao je zbrojem viška iz prethodne 202</w:t>
      </w:r>
      <w:r w:rsidR="005A3A37">
        <w:rPr>
          <w:rFonts w:ascii="Arial" w:hAnsi="Arial" w:cs="Arial"/>
        </w:rPr>
        <w:t>4</w:t>
      </w:r>
      <w:r w:rsidRPr="00416CB2">
        <w:rPr>
          <w:rFonts w:ascii="Arial" w:hAnsi="Arial" w:cs="Arial"/>
        </w:rPr>
        <w:t xml:space="preserve">.godine u iznosu od  </w:t>
      </w:r>
      <w:r w:rsidR="005A3A37">
        <w:rPr>
          <w:rFonts w:ascii="Arial" w:hAnsi="Arial" w:cs="Arial"/>
        </w:rPr>
        <w:t>5.290,51</w:t>
      </w:r>
      <w:r w:rsidRPr="00416CB2">
        <w:rPr>
          <w:rFonts w:ascii="Arial" w:hAnsi="Arial" w:cs="Arial"/>
        </w:rPr>
        <w:t xml:space="preserve"> EUR.</w:t>
      </w:r>
    </w:p>
    <w:p w:rsidR="00B55C79" w:rsidRPr="00416CB2" w:rsidRDefault="00B55C79" w:rsidP="00B55C79">
      <w:pPr>
        <w:rPr>
          <w:rFonts w:ascii="Arial" w:hAnsi="Arial" w:cs="Arial"/>
          <w:b/>
        </w:rPr>
      </w:pPr>
      <w:r w:rsidRPr="00416CB2">
        <w:rPr>
          <w:rFonts w:ascii="Arial" w:hAnsi="Arial" w:cs="Arial"/>
          <w:b/>
        </w:rPr>
        <w:t>1.1. Prihodi poslovanja</w:t>
      </w:r>
    </w:p>
    <w:p w:rsidR="00B55C79" w:rsidRDefault="00B55C79" w:rsidP="009C6468">
      <w:pPr>
        <w:spacing w:after="0"/>
        <w:jc w:val="both"/>
        <w:rPr>
          <w:rFonts w:ascii="Arial" w:hAnsi="Arial" w:cs="Arial"/>
        </w:rPr>
      </w:pPr>
      <w:r w:rsidRPr="00416CB2">
        <w:rPr>
          <w:rFonts w:ascii="Arial" w:hAnsi="Arial" w:cs="Arial"/>
        </w:rPr>
        <w:t>Najznačajniju stavku prihoda poslovanja čini pomoć iz inozemstva i od subjekata unutar općeg proračuna, a odnose se na tekuće i kapitalne pomoći . Ostvareni prihodi u razdoblju od 01-06/202</w:t>
      </w:r>
      <w:r w:rsidR="005A3A37">
        <w:rPr>
          <w:rFonts w:ascii="Arial" w:hAnsi="Arial" w:cs="Arial"/>
        </w:rPr>
        <w:t>5</w:t>
      </w:r>
      <w:r w:rsidRPr="00416CB2">
        <w:rPr>
          <w:rFonts w:ascii="Arial" w:hAnsi="Arial" w:cs="Arial"/>
        </w:rPr>
        <w:t xml:space="preserve">.god iznose </w:t>
      </w:r>
      <w:r w:rsidR="005A3A37">
        <w:rPr>
          <w:rFonts w:ascii="Arial" w:hAnsi="Arial" w:cs="Arial"/>
        </w:rPr>
        <w:t>618.810,64</w:t>
      </w:r>
      <w:r w:rsidRPr="00416CB2">
        <w:rPr>
          <w:rFonts w:ascii="Arial" w:hAnsi="Arial" w:cs="Arial"/>
        </w:rPr>
        <w:t xml:space="preserve"> EUR odnosno </w:t>
      </w:r>
      <w:r w:rsidR="005A3A37">
        <w:rPr>
          <w:rFonts w:ascii="Arial" w:hAnsi="Arial" w:cs="Arial"/>
        </w:rPr>
        <w:t>44,98</w:t>
      </w:r>
      <w:r w:rsidRPr="00416CB2">
        <w:rPr>
          <w:rFonts w:ascii="Arial" w:hAnsi="Arial" w:cs="Arial"/>
        </w:rPr>
        <w:t>% godišnjeg plana za 202</w:t>
      </w:r>
      <w:r w:rsidR="005A3A37">
        <w:rPr>
          <w:rFonts w:ascii="Arial" w:hAnsi="Arial" w:cs="Arial"/>
        </w:rPr>
        <w:t>5</w:t>
      </w:r>
      <w:r w:rsidRPr="00416CB2">
        <w:rPr>
          <w:rFonts w:ascii="Arial" w:hAnsi="Arial" w:cs="Arial"/>
        </w:rPr>
        <w:t xml:space="preserve">.godinu. U odnosu na prethodno razdoblje u porastu je za </w:t>
      </w:r>
      <w:r w:rsidR="005A3A37">
        <w:rPr>
          <w:rFonts w:ascii="Arial" w:hAnsi="Arial" w:cs="Arial"/>
        </w:rPr>
        <w:t>17,19</w:t>
      </w:r>
      <w:r w:rsidRPr="00416CB2">
        <w:rPr>
          <w:rFonts w:ascii="Arial" w:hAnsi="Arial" w:cs="Arial"/>
        </w:rPr>
        <w:t>%. Najveći utjecaj na povećanje prihoda u odnosu na prethodno razdoblje odnosi se na sredstva za isplatu plaća</w:t>
      </w:r>
      <w:r w:rsidR="009C6468" w:rsidRPr="00416CB2">
        <w:rPr>
          <w:rFonts w:ascii="Arial" w:hAnsi="Arial" w:cs="Arial"/>
        </w:rPr>
        <w:t>.  Do povećanja  sredstava došlo je temeljem članka 14. stavka 4.  Zakona o   plaćama u državnoj službi i javnim službama (»Narodne novine«, broj 155/23.), Vlada Republike Hrvatske koja je na sjednici održanoj 22. veljače 2024. donijela Uredbu o nazivima radnih mjesta, uvjetima za raspored i koeficijentima za obračun u javnim službama</w:t>
      </w:r>
      <w:r w:rsidR="005A3A37">
        <w:rPr>
          <w:rFonts w:ascii="Arial" w:hAnsi="Arial" w:cs="Arial"/>
        </w:rPr>
        <w:t xml:space="preserve">, povećanju osnovice za obračun plaće te </w:t>
      </w:r>
      <w:r w:rsidR="00794FEA">
        <w:rPr>
          <w:rFonts w:ascii="Arial" w:hAnsi="Arial" w:cs="Arial"/>
        </w:rPr>
        <w:t>sredstva za plaću</w:t>
      </w:r>
      <w:r w:rsidR="005A3A37">
        <w:rPr>
          <w:rFonts w:ascii="Arial" w:hAnsi="Arial" w:cs="Arial"/>
        </w:rPr>
        <w:t xml:space="preserve"> dvije pomoćni</w:t>
      </w:r>
      <w:r w:rsidR="00794FEA">
        <w:rPr>
          <w:rFonts w:ascii="Arial" w:hAnsi="Arial" w:cs="Arial"/>
        </w:rPr>
        <w:t>c</w:t>
      </w:r>
      <w:r w:rsidR="005A3A37">
        <w:rPr>
          <w:rFonts w:ascii="Arial" w:hAnsi="Arial" w:cs="Arial"/>
        </w:rPr>
        <w:t>e u nastavi</w:t>
      </w:r>
      <w:r w:rsidR="00794FEA">
        <w:rPr>
          <w:rFonts w:ascii="Arial" w:hAnsi="Arial" w:cs="Arial"/>
        </w:rPr>
        <w:t xml:space="preserve"> koje su se zaposlile početkom ove godine.</w:t>
      </w:r>
      <w:r w:rsidR="009C6468" w:rsidRPr="00416CB2">
        <w:rPr>
          <w:rFonts w:ascii="Arial" w:hAnsi="Arial" w:cs="Arial"/>
        </w:rPr>
        <w:t>.</w:t>
      </w:r>
    </w:p>
    <w:p w:rsidR="004B5489" w:rsidRPr="00416CB2" w:rsidRDefault="004B5489" w:rsidP="009C6468">
      <w:pPr>
        <w:spacing w:after="0"/>
        <w:jc w:val="both"/>
        <w:rPr>
          <w:rFonts w:ascii="Arial" w:hAnsi="Arial" w:cs="Arial"/>
        </w:rPr>
      </w:pPr>
    </w:p>
    <w:p w:rsidR="00B55C79" w:rsidRDefault="00B55C79" w:rsidP="004B5489">
      <w:pPr>
        <w:jc w:val="both"/>
      </w:pPr>
      <w:r w:rsidRPr="00416CB2">
        <w:rPr>
          <w:rFonts w:ascii="Arial" w:hAnsi="Arial" w:cs="Arial"/>
        </w:rPr>
        <w:t xml:space="preserve">Ostvareni prihodi po posebnim propisima odnose se na  topli obrok za učenike u produženom boravku. Realizirani su u iznosu od </w:t>
      </w:r>
      <w:r w:rsidR="00794FEA">
        <w:rPr>
          <w:rFonts w:ascii="Arial" w:hAnsi="Arial" w:cs="Arial"/>
        </w:rPr>
        <w:t>37,84</w:t>
      </w:r>
      <w:r w:rsidRPr="00416CB2">
        <w:rPr>
          <w:rFonts w:ascii="Arial" w:hAnsi="Arial" w:cs="Arial"/>
        </w:rPr>
        <w:t xml:space="preserve">% u odnosu na godišnji plan te </w:t>
      </w:r>
      <w:r w:rsidR="00794FEA">
        <w:rPr>
          <w:rFonts w:ascii="Arial" w:hAnsi="Arial" w:cs="Arial"/>
        </w:rPr>
        <w:t>90,67</w:t>
      </w:r>
      <w:r w:rsidR="00A80FAB" w:rsidRPr="00416CB2">
        <w:rPr>
          <w:rFonts w:ascii="Arial" w:hAnsi="Arial" w:cs="Arial"/>
        </w:rPr>
        <w:t>%</w:t>
      </w:r>
      <w:r w:rsidRPr="00416CB2">
        <w:rPr>
          <w:rFonts w:ascii="Arial" w:hAnsi="Arial" w:cs="Arial"/>
        </w:rPr>
        <w:t xml:space="preserve"> u odnosu na ostvarenje u istom razdoblju prethodne godine. </w:t>
      </w:r>
      <w:r w:rsidR="00794FEA">
        <w:rPr>
          <w:rFonts w:ascii="Arial" w:hAnsi="Arial" w:cs="Arial"/>
        </w:rPr>
        <w:t>Razlog smanjenja</w:t>
      </w:r>
      <w:r w:rsidR="002E5637" w:rsidRPr="00416CB2">
        <w:rPr>
          <w:rFonts w:ascii="Arial" w:hAnsi="Arial" w:cs="Arial"/>
        </w:rPr>
        <w:t xml:space="preserve"> prihoda </w:t>
      </w:r>
      <w:r w:rsidR="00794FEA">
        <w:rPr>
          <w:rFonts w:ascii="Arial" w:hAnsi="Arial" w:cs="Arial"/>
        </w:rPr>
        <w:t>je što se prihod za 06/2025. nije naplatio do kraja mjeseca</w:t>
      </w:r>
      <w:r w:rsidR="00467CCF">
        <w:rPr>
          <w:rFonts w:ascii="Arial" w:hAnsi="Arial" w:cs="Arial"/>
        </w:rPr>
        <w:t>. Potraživanje za</w:t>
      </w:r>
      <w:r w:rsidR="00C06848">
        <w:rPr>
          <w:rFonts w:ascii="Arial" w:hAnsi="Arial" w:cs="Arial"/>
        </w:rPr>
        <w:t xml:space="preserve"> </w:t>
      </w:r>
      <w:r w:rsidR="002E5637" w:rsidRPr="00416CB2">
        <w:rPr>
          <w:rFonts w:ascii="Arial" w:hAnsi="Arial" w:cs="Arial"/>
        </w:rPr>
        <w:t xml:space="preserve"> prijevoz</w:t>
      </w:r>
      <w:r w:rsidR="00C06848">
        <w:rPr>
          <w:rFonts w:ascii="Arial" w:hAnsi="Arial" w:cs="Arial"/>
        </w:rPr>
        <w:t xml:space="preserve"> od Školskog sportskog saveza </w:t>
      </w:r>
      <w:r w:rsidR="002E5637" w:rsidRPr="00416CB2">
        <w:rPr>
          <w:rFonts w:ascii="Arial" w:hAnsi="Arial" w:cs="Arial"/>
        </w:rPr>
        <w:t xml:space="preserve"> </w:t>
      </w:r>
      <w:r w:rsidR="00C06848">
        <w:rPr>
          <w:rFonts w:ascii="Arial" w:hAnsi="Arial" w:cs="Arial"/>
        </w:rPr>
        <w:t>po programu Sportski praznici 2024/2025 naplatio</w:t>
      </w:r>
      <w:r w:rsidR="00E826E2">
        <w:rPr>
          <w:rFonts w:ascii="Arial" w:hAnsi="Arial" w:cs="Arial"/>
        </w:rPr>
        <w:t xml:space="preserve"> se</w:t>
      </w:r>
      <w:r w:rsidR="00C06848">
        <w:rPr>
          <w:rFonts w:ascii="Arial" w:hAnsi="Arial" w:cs="Arial"/>
        </w:rPr>
        <w:t xml:space="preserve"> u 07/2025.god.</w:t>
      </w:r>
      <w:r w:rsidR="002E5637" w:rsidRPr="00416CB2">
        <w:rPr>
          <w:rFonts w:ascii="Arial" w:hAnsi="Arial" w:cs="Arial"/>
        </w:rPr>
        <w:t>.</w:t>
      </w:r>
    </w:p>
    <w:p w:rsidR="00B55C79" w:rsidRPr="00416CB2" w:rsidRDefault="00FE4838" w:rsidP="00B55C79">
      <w:pPr>
        <w:rPr>
          <w:rFonts w:ascii="Arial" w:hAnsi="Arial" w:cs="Arial"/>
        </w:rPr>
      </w:pPr>
      <w:r>
        <w:rPr>
          <w:rFonts w:ascii="Arial" w:hAnsi="Arial" w:cs="Arial"/>
        </w:rPr>
        <w:t>Prihodi od najma i d</w:t>
      </w:r>
      <w:r w:rsidR="00B55C79" w:rsidRPr="00416CB2">
        <w:rPr>
          <w:rFonts w:ascii="Arial" w:hAnsi="Arial" w:cs="Arial"/>
        </w:rPr>
        <w:t>onacije od pravnih i fizičkih osoba izvan općeg proračuna</w:t>
      </w:r>
      <w:r w:rsidR="00234E07">
        <w:rPr>
          <w:rFonts w:ascii="Arial" w:hAnsi="Arial" w:cs="Arial"/>
        </w:rPr>
        <w:t xml:space="preserve"> realizirani</w:t>
      </w:r>
      <w:r w:rsidR="00B55C79" w:rsidRPr="00416CB2">
        <w:rPr>
          <w:rFonts w:ascii="Arial" w:hAnsi="Arial" w:cs="Arial"/>
        </w:rPr>
        <w:t xml:space="preserve"> su u iznosu od </w:t>
      </w:r>
      <w:r w:rsidR="00557447">
        <w:rPr>
          <w:rFonts w:ascii="Arial" w:hAnsi="Arial" w:cs="Arial"/>
        </w:rPr>
        <w:t>354,86</w:t>
      </w:r>
      <w:r w:rsidR="00B55C79" w:rsidRPr="00416CB2">
        <w:rPr>
          <w:rFonts w:ascii="Arial" w:hAnsi="Arial" w:cs="Arial"/>
        </w:rPr>
        <w:t xml:space="preserve"> EUR odnosno </w:t>
      </w:r>
      <w:r w:rsidR="00557447">
        <w:rPr>
          <w:rFonts w:ascii="Arial" w:hAnsi="Arial" w:cs="Arial"/>
        </w:rPr>
        <w:t>13,40</w:t>
      </w:r>
      <w:r w:rsidR="00B55C79" w:rsidRPr="00416CB2">
        <w:rPr>
          <w:rFonts w:ascii="Arial" w:hAnsi="Arial" w:cs="Arial"/>
        </w:rPr>
        <w:t xml:space="preserve"> % godišnjeg plana te </w:t>
      </w:r>
      <w:r w:rsidR="00557447">
        <w:rPr>
          <w:rFonts w:ascii="Arial" w:hAnsi="Arial" w:cs="Arial"/>
        </w:rPr>
        <w:t>3,42</w:t>
      </w:r>
      <w:r w:rsidR="00B55C79" w:rsidRPr="00416CB2">
        <w:rPr>
          <w:rFonts w:ascii="Arial" w:hAnsi="Arial" w:cs="Arial"/>
        </w:rPr>
        <w:t xml:space="preserve">% u odnosu na ostvarenje  prethodnog razdoblja. </w:t>
      </w:r>
      <w:r>
        <w:rPr>
          <w:rFonts w:ascii="Arial" w:hAnsi="Arial" w:cs="Arial"/>
        </w:rPr>
        <w:t>Prihod od najma odnosi se na najam od Šahovskog kluba te d</w:t>
      </w:r>
      <w:r w:rsidR="00B55C79" w:rsidRPr="00416CB2">
        <w:rPr>
          <w:rFonts w:ascii="Arial" w:hAnsi="Arial" w:cs="Arial"/>
        </w:rPr>
        <w:t>onacij</w:t>
      </w:r>
      <w:r>
        <w:rPr>
          <w:rFonts w:ascii="Arial" w:hAnsi="Arial" w:cs="Arial"/>
        </w:rPr>
        <w:t>a od pravne osobe</w:t>
      </w:r>
      <w:r w:rsidR="00B55C79" w:rsidRPr="00416CB2">
        <w:rPr>
          <w:rFonts w:ascii="Arial" w:hAnsi="Arial" w:cs="Arial"/>
        </w:rPr>
        <w:t>.</w:t>
      </w:r>
    </w:p>
    <w:p w:rsidR="00B55C79" w:rsidRPr="00416CB2" w:rsidRDefault="00B55C79" w:rsidP="00323E25">
      <w:pPr>
        <w:jc w:val="both"/>
        <w:rPr>
          <w:rFonts w:ascii="Arial" w:hAnsi="Arial" w:cs="Arial"/>
        </w:rPr>
      </w:pPr>
      <w:r w:rsidRPr="00416CB2">
        <w:rPr>
          <w:rFonts w:ascii="Arial" w:hAnsi="Arial" w:cs="Arial"/>
        </w:rPr>
        <w:t>Prihodi iz nadležnog proračuna za financiranje redovne djelatnosti odnose se na prihode od Županije za materijalne izdatke, usluge održavanja</w:t>
      </w:r>
      <w:r w:rsidR="00467CCF">
        <w:rPr>
          <w:rFonts w:ascii="Arial" w:hAnsi="Arial" w:cs="Arial"/>
        </w:rPr>
        <w:t>,</w:t>
      </w:r>
      <w:r w:rsidRPr="00416CB2">
        <w:rPr>
          <w:rFonts w:ascii="Arial" w:hAnsi="Arial" w:cs="Arial"/>
        </w:rPr>
        <w:t xml:space="preserve"> školske opreme, isplatu plaće za asistente po programu Mozaik </w:t>
      </w:r>
      <w:r w:rsidR="00C06848">
        <w:rPr>
          <w:rFonts w:ascii="Arial" w:hAnsi="Arial" w:cs="Arial"/>
        </w:rPr>
        <w:t xml:space="preserve">7 te pomoćnike u nastavi koje financira Istarska županija </w:t>
      </w:r>
      <w:r w:rsidR="00467CCF">
        <w:rPr>
          <w:rFonts w:ascii="Arial" w:hAnsi="Arial" w:cs="Arial"/>
        </w:rPr>
        <w:t xml:space="preserve">ukupno </w:t>
      </w:r>
      <w:r w:rsidR="00C06848">
        <w:rPr>
          <w:rFonts w:ascii="Arial" w:hAnsi="Arial" w:cs="Arial"/>
        </w:rPr>
        <w:t>u iznosu od 149.308,49 EUR</w:t>
      </w:r>
      <w:r w:rsidRPr="00416CB2">
        <w:rPr>
          <w:rFonts w:ascii="Arial" w:hAnsi="Arial" w:cs="Arial"/>
        </w:rPr>
        <w:t xml:space="preserve">. U odnosu na prethodno razdoblje </w:t>
      </w:r>
      <w:r w:rsidR="00D35F5D" w:rsidRPr="00416CB2">
        <w:rPr>
          <w:rFonts w:ascii="Arial" w:hAnsi="Arial" w:cs="Arial"/>
        </w:rPr>
        <w:t>povećani</w:t>
      </w:r>
      <w:r w:rsidRPr="00416CB2">
        <w:rPr>
          <w:rFonts w:ascii="Arial" w:hAnsi="Arial" w:cs="Arial"/>
        </w:rPr>
        <w:t xml:space="preserve"> su za </w:t>
      </w:r>
      <w:r w:rsidR="00C06848">
        <w:rPr>
          <w:rFonts w:ascii="Arial" w:hAnsi="Arial" w:cs="Arial"/>
        </w:rPr>
        <w:t>137,93</w:t>
      </w:r>
      <w:r w:rsidRPr="00416CB2">
        <w:rPr>
          <w:rFonts w:ascii="Arial" w:hAnsi="Arial" w:cs="Arial"/>
        </w:rPr>
        <w:t>%.</w:t>
      </w:r>
      <w:r w:rsidR="00323E25" w:rsidRPr="00416CB2">
        <w:rPr>
          <w:rFonts w:ascii="Arial" w:hAnsi="Arial" w:cs="Arial"/>
        </w:rPr>
        <w:t xml:space="preserve"> odnosno </w:t>
      </w:r>
      <w:r w:rsidR="00C06848">
        <w:rPr>
          <w:rFonts w:ascii="Arial" w:hAnsi="Arial" w:cs="Arial"/>
        </w:rPr>
        <w:t>48,88</w:t>
      </w:r>
      <w:r w:rsidR="00323E25" w:rsidRPr="00416CB2">
        <w:rPr>
          <w:rFonts w:ascii="Arial" w:hAnsi="Arial" w:cs="Arial"/>
        </w:rPr>
        <w:t>% godišnjeg plana za 202</w:t>
      </w:r>
      <w:r w:rsidR="00C06848">
        <w:rPr>
          <w:rFonts w:ascii="Arial" w:hAnsi="Arial" w:cs="Arial"/>
        </w:rPr>
        <w:t>4</w:t>
      </w:r>
      <w:r w:rsidR="00323E25" w:rsidRPr="00416CB2">
        <w:rPr>
          <w:rFonts w:ascii="Arial" w:hAnsi="Arial" w:cs="Arial"/>
        </w:rPr>
        <w:t xml:space="preserve">.godinu </w:t>
      </w:r>
      <w:r w:rsidRPr="00416CB2">
        <w:rPr>
          <w:rFonts w:ascii="Arial" w:hAnsi="Arial" w:cs="Arial"/>
        </w:rPr>
        <w:t xml:space="preserve"> </w:t>
      </w:r>
      <w:r w:rsidR="00323E25" w:rsidRPr="00416CB2">
        <w:rPr>
          <w:rFonts w:ascii="Arial" w:hAnsi="Arial" w:cs="Arial"/>
        </w:rPr>
        <w:t>Jedan od većih uzroka povećanja  prihoda je povećanje troškova prijevoza učenika</w:t>
      </w:r>
      <w:r w:rsidR="004B5489">
        <w:rPr>
          <w:rFonts w:ascii="Arial" w:hAnsi="Arial" w:cs="Arial"/>
        </w:rPr>
        <w:t xml:space="preserve">, zatim </w:t>
      </w:r>
      <w:r w:rsidR="00EF6344">
        <w:rPr>
          <w:rFonts w:ascii="Arial" w:hAnsi="Arial" w:cs="Arial"/>
        </w:rPr>
        <w:t>sredstva za plaću pomoćnika u nastavi</w:t>
      </w:r>
      <w:r w:rsidR="00B574D6">
        <w:rPr>
          <w:rFonts w:ascii="Arial" w:hAnsi="Arial" w:cs="Arial"/>
        </w:rPr>
        <w:t xml:space="preserve"> te povećanje decentraliziranih sredstava za materijalne troškove poslovanja škole.</w:t>
      </w:r>
      <w:r w:rsidR="00323E25" w:rsidRPr="00416CB2">
        <w:rPr>
          <w:rFonts w:ascii="Arial" w:hAnsi="Arial" w:cs="Arial"/>
        </w:rPr>
        <w:t xml:space="preserve"> </w:t>
      </w:r>
    </w:p>
    <w:p w:rsidR="00323E25" w:rsidRPr="00416CB2" w:rsidRDefault="00323E25" w:rsidP="00323E25">
      <w:pPr>
        <w:jc w:val="both"/>
        <w:rPr>
          <w:rFonts w:ascii="Arial" w:hAnsi="Arial" w:cs="Arial"/>
        </w:rPr>
      </w:pPr>
      <w:r w:rsidRPr="00416CB2">
        <w:rPr>
          <w:rFonts w:ascii="Arial" w:hAnsi="Arial" w:cs="Arial"/>
        </w:rPr>
        <w:t>Prihod</w:t>
      </w:r>
      <w:r w:rsidR="003F3B75">
        <w:rPr>
          <w:rFonts w:ascii="Arial" w:hAnsi="Arial" w:cs="Arial"/>
        </w:rPr>
        <w:t>a</w:t>
      </w:r>
      <w:r w:rsidRPr="00416CB2">
        <w:rPr>
          <w:rFonts w:ascii="Arial" w:hAnsi="Arial" w:cs="Arial"/>
        </w:rPr>
        <w:t xml:space="preserve"> Županije za financiranje rashoda za nabavku nefinancijske imovine</w:t>
      </w:r>
      <w:r w:rsidR="00B574D6">
        <w:rPr>
          <w:rFonts w:ascii="Arial" w:hAnsi="Arial" w:cs="Arial"/>
        </w:rPr>
        <w:t xml:space="preserve"> u ovom razdoblju nije bilo, dok je u prethodnom razdoblju iznosilo</w:t>
      </w:r>
      <w:r w:rsidR="00B22AA0">
        <w:rPr>
          <w:rFonts w:ascii="Arial" w:hAnsi="Arial" w:cs="Arial"/>
        </w:rPr>
        <w:t xml:space="preserve"> 3.918,75 EUR</w:t>
      </w:r>
      <w:r w:rsidRPr="00416CB2">
        <w:rPr>
          <w:rFonts w:ascii="Arial" w:hAnsi="Arial" w:cs="Arial"/>
        </w:rPr>
        <w:t>, a odnosi</w:t>
      </w:r>
      <w:r w:rsidR="00B22AA0">
        <w:rPr>
          <w:rFonts w:ascii="Arial" w:hAnsi="Arial" w:cs="Arial"/>
        </w:rPr>
        <w:t>lo</w:t>
      </w:r>
      <w:r w:rsidRPr="00416CB2">
        <w:rPr>
          <w:rFonts w:ascii="Arial" w:hAnsi="Arial" w:cs="Arial"/>
        </w:rPr>
        <w:t xml:space="preserve"> se na nabavku školskog namještaja.</w:t>
      </w:r>
    </w:p>
    <w:p w:rsidR="00323E25" w:rsidRDefault="00323E25" w:rsidP="00323E25">
      <w:pPr>
        <w:jc w:val="both"/>
      </w:pPr>
    </w:p>
    <w:p w:rsidR="00B55C79" w:rsidRPr="00416CB2" w:rsidRDefault="00B55C79" w:rsidP="00B55C79">
      <w:pPr>
        <w:rPr>
          <w:rFonts w:ascii="Arial" w:hAnsi="Arial" w:cs="Arial"/>
          <w:b/>
        </w:rPr>
      </w:pPr>
      <w:r w:rsidRPr="00416CB2">
        <w:rPr>
          <w:rFonts w:ascii="Arial" w:hAnsi="Arial" w:cs="Arial"/>
          <w:b/>
        </w:rPr>
        <w:t>1.</w:t>
      </w:r>
      <w:r w:rsidR="00291835" w:rsidRPr="00416CB2">
        <w:rPr>
          <w:rFonts w:ascii="Arial" w:hAnsi="Arial" w:cs="Arial"/>
          <w:b/>
        </w:rPr>
        <w:t>2</w:t>
      </w:r>
      <w:r w:rsidRPr="00416CB2">
        <w:rPr>
          <w:rFonts w:ascii="Arial" w:hAnsi="Arial" w:cs="Arial"/>
          <w:b/>
        </w:rPr>
        <w:t>. Rashodi poslovanja</w:t>
      </w:r>
    </w:p>
    <w:p w:rsidR="00B921A1" w:rsidRPr="00416CB2" w:rsidRDefault="00B55C79" w:rsidP="00B55C79">
      <w:pPr>
        <w:rPr>
          <w:rFonts w:ascii="Arial" w:hAnsi="Arial" w:cs="Arial"/>
        </w:rPr>
      </w:pPr>
      <w:r w:rsidRPr="00416CB2">
        <w:rPr>
          <w:rFonts w:ascii="Arial" w:hAnsi="Arial" w:cs="Arial"/>
        </w:rPr>
        <w:t xml:space="preserve">Rashodi poslovanja ostvareni su u iznosu od </w:t>
      </w:r>
      <w:r w:rsidR="00FE4838">
        <w:rPr>
          <w:rFonts w:ascii="Arial" w:hAnsi="Arial" w:cs="Arial"/>
        </w:rPr>
        <w:t>880.633,99</w:t>
      </w:r>
      <w:r w:rsidRPr="00416CB2">
        <w:rPr>
          <w:rFonts w:ascii="Arial" w:hAnsi="Arial" w:cs="Arial"/>
        </w:rPr>
        <w:t xml:space="preserve"> EUR što predstavlja izvršenje od </w:t>
      </w:r>
      <w:r w:rsidR="00FE4838">
        <w:rPr>
          <w:rFonts w:ascii="Arial" w:hAnsi="Arial" w:cs="Arial"/>
        </w:rPr>
        <w:t>52,22</w:t>
      </w:r>
      <w:r w:rsidR="00B921A1" w:rsidRPr="00416CB2">
        <w:rPr>
          <w:rFonts w:ascii="Arial" w:hAnsi="Arial" w:cs="Arial"/>
        </w:rPr>
        <w:t xml:space="preserve"> % godišnjeg plan te </w:t>
      </w:r>
      <w:r w:rsidR="00FE4838">
        <w:rPr>
          <w:rFonts w:ascii="Arial" w:hAnsi="Arial" w:cs="Arial"/>
        </w:rPr>
        <w:t>33,83</w:t>
      </w:r>
      <w:r w:rsidR="00B921A1" w:rsidRPr="00416CB2">
        <w:rPr>
          <w:rFonts w:ascii="Arial" w:hAnsi="Arial" w:cs="Arial"/>
        </w:rPr>
        <w:t>% više u odnosu na realizaciju prethodne godine.</w:t>
      </w:r>
    </w:p>
    <w:p w:rsidR="00B55C79" w:rsidRDefault="00B55C79" w:rsidP="00B55C79">
      <w:pPr>
        <w:rPr>
          <w:rFonts w:ascii="Arial" w:hAnsi="Arial" w:cs="Arial"/>
        </w:rPr>
      </w:pPr>
      <w:r w:rsidRPr="00416CB2">
        <w:rPr>
          <w:rFonts w:ascii="Arial" w:hAnsi="Arial" w:cs="Arial"/>
        </w:rPr>
        <w:lastRenderedPageBreak/>
        <w:t xml:space="preserve"> Rashodi poslovanja za zaposlene ostvareni su u iznosu od </w:t>
      </w:r>
      <w:r w:rsidR="00FE4838">
        <w:rPr>
          <w:rFonts w:ascii="Arial" w:hAnsi="Arial" w:cs="Arial"/>
        </w:rPr>
        <w:t>701.787,52</w:t>
      </w:r>
      <w:r w:rsidRPr="00416CB2">
        <w:rPr>
          <w:rFonts w:ascii="Arial" w:hAnsi="Arial" w:cs="Arial"/>
        </w:rPr>
        <w:t xml:space="preserve"> EUR. U odnosu na prethod</w:t>
      </w:r>
      <w:r w:rsidR="003F3B75">
        <w:rPr>
          <w:rFonts w:ascii="Arial" w:hAnsi="Arial" w:cs="Arial"/>
        </w:rPr>
        <w:t>no razdoblje realizirani su u povećanju</w:t>
      </w:r>
      <w:r w:rsidRPr="00416CB2">
        <w:rPr>
          <w:rFonts w:ascii="Arial" w:hAnsi="Arial" w:cs="Arial"/>
        </w:rPr>
        <w:t xml:space="preserve"> za </w:t>
      </w:r>
      <w:r w:rsidR="00FE4838">
        <w:rPr>
          <w:rFonts w:ascii="Arial" w:hAnsi="Arial" w:cs="Arial"/>
        </w:rPr>
        <w:t>40,30</w:t>
      </w:r>
      <w:r w:rsidRPr="00416CB2">
        <w:rPr>
          <w:rFonts w:ascii="Arial" w:hAnsi="Arial" w:cs="Arial"/>
        </w:rPr>
        <w:t xml:space="preserve">%. </w:t>
      </w:r>
    </w:p>
    <w:p w:rsidR="00B921A1" w:rsidRPr="00416CB2" w:rsidRDefault="00EF6344" w:rsidP="00EF6344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F6344">
        <w:rPr>
          <w:rFonts w:ascii="Arial" w:hAnsi="Arial" w:cs="Arial"/>
        </w:rPr>
        <w:t>Taj rast se u najvećem djelu odnosi na rast plaća zaposlenika temeljem Uredbe o nazivima radnih mjesta, uvjetima za raspored i koeficijentima za obračun u javnim službama te povećanje osnovice za obračun plaće</w:t>
      </w:r>
      <w:r>
        <w:rPr>
          <w:rFonts w:ascii="Arial" w:hAnsi="Arial" w:cs="Arial"/>
        </w:rPr>
        <w:t xml:space="preserve"> </w:t>
      </w:r>
      <w:r w:rsidRPr="00EF6344">
        <w:rPr>
          <w:rFonts w:ascii="Arial" w:hAnsi="Arial" w:cs="Arial"/>
        </w:rPr>
        <w:t>i</w:t>
      </w:r>
      <w:r>
        <w:rPr>
          <w:rFonts w:ascii="Times New Roman" w:hAnsi="Times New Roman"/>
          <w:sz w:val="24"/>
        </w:rPr>
        <w:t xml:space="preserve"> </w:t>
      </w:r>
      <w:r w:rsidRPr="00EF6344">
        <w:rPr>
          <w:rFonts w:ascii="Arial" w:hAnsi="Arial" w:cs="Arial"/>
        </w:rPr>
        <w:t>sufinanciranje plaća učiteljica u produženom boravku i pomoćnika u nastavi.</w:t>
      </w:r>
      <w:r>
        <w:rPr>
          <w:rFonts w:ascii="Arial" w:hAnsi="Arial" w:cs="Arial"/>
        </w:rPr>
        <w:t xml:space="preserve"> </w:t>
      </w:r>
      <w:r w:rsidRPr="00EF6344">
        <w:rPr>
          <w:rFonts w:ascii="Arial" w:hAnsi="Arial" w:cs="Arial"/>
        </w:rPr>
        <w:t>Novim Pravilnikom o proračunskom računovodstvu i računskom planu propisane su nove sheme knjiženja koje su utjecale na proširenu primjenu obračunske osnove u priznavanju rashoda, ukinuti su kontinuirani rashodi te je trošak plaće za 06/2025 priznat u rashode prema nastanku događaja.</w:t>
      </w:r>
      <w:r>
        <w:rPr>
          <w:rFonts w:ascii="Arial" w:hAnsi="Arial" w:cs="Arial"/>
        </w:rPr>
        <w:t xml:space="preserve"> </w:t>
      </w:r>
      <w:r w:rsidR="00B921A1" w:rsidRPr="00416CB2">
        <w:rPr>
          <w:rFonts w:ascii="Arial" w:hAnsi="Arial" w:cs="Arial"/>
        </w:rPr>
        <w:t>Do većeg odstupanja došlo je kod  plaće za prekovremeni rad  zbog sve t</w:t>
      </w:r>
      <w:r w:rsidR="00190825">
        <w:rPr>
          <w:rFonts w:ascii="Arial" w:hAnsi="Arial" w:cs="Arial"/>
        </w:rPr>
        <w:t>ežeg pronalaženja učitelja koje</w:t>
      </w:r>
      <w:r w:rsidR="00B921A1" w:rsidRPr="00416CB2">
        <w:rPr>
          <w:rFonts w:ascii="Arial" w:hAnsi="Arial" w:cs="Arial"/>
        </w:rPr>
        <w:t xml:space="preserve"> je teško naći na burzi rada te smo prisilj</w:t>
      </w:r>
      <w:r w:rsidR="00190825">
        <w:rPr>
          <w:rFonts w:ascii="Arial" w:hAnsi="Arial" w:cs="Arial"/>
        </w:rPr>
        <w:t xml:space="preserve">eni da nastavu odrade </w:t>
      </w:r>
      <w:r w:rsidR="00B921A1" w:rsidRPr="00416CB2">
        <w:rPr>
          <w:rFonts w:ascii="Arial" w:hAnsi="Arial" w:cs="Arial"/>
        </w:rPr>
        <w:t xml:space="preserve">učitelji </w:t>
      </w:r>
      <w:r w:rsidR="00190825">
        <w:rPr>
          <w:rFonts w:ascii="Arial" w:hAnsi="Arial" w:cs="Arial"/>
        </w:rPr>
        <w:t xml:space="preserve">zaposleni </w:t>
      </w:r>
      <w:r w:rsidR="00B921A1" w:rsidRPr="00416CB2">
        <w:rPr>
          <w:rFonts w:ascii="Arial" w:hAnsi="Arial" w:cs="Arial"/>
        </w:rPr>
        <w:t>u našoj školi</w:t>
      </w:r>
      <w:r w:rsidR="00B921A1" w:rsidRPr="00416CB2">
        <w:rPr>
          <w:rFonts w:ascii="Arial" w:hAnsi="Arial" w:cs="Arial"/>
          <w:color w:val="000000" w:themeColor="text1"/>
        </w:rPr>
        <w:t>.</w:t>
      </w:r>
    </w:p>
    <w:p w:rsidR="00E67931" w:rsidRPr="00416CB2" w:rsidRDefault="00B55C79" w:rsidP="00B55C79">
      <w:pPr>
        <w:rPr>
          <w:rFonts w:ascii="Arial" w:hAnsi="Arial" w:cs="Arial"/>
        </w:rPr>
      </w:pPr>
      <w:r w:rsidRPr="00416CB2">
        <w:rPr>
          <w:rFonts w:ascii="Arial" w:hAnsi="Arial" w:cs="Arial"/>
        </w:rPr>
        <w:t xml:space="preserve">Ukupno izvršenje materijalnih rashoda iznosi </w:t>
      </w:r>
      <w:r w:rsidR="009C2501">
        <w:rPr>
          <w:rFonts w:ascii="Arial" w:hAnsi="Arial" w:cs="Arial"/>
        </w:rPr>
        <w:t>100.408,69</w:t>
      </w:r>
      <w:r w:rsidRPr="00416CB2">
        <w:rPr>
          <w:rFonts w:ascii="Arial" w:hAnsi="Arial" w:cs="Arial"/>
        </w:rPr>
        <w:t xml:space="preserve"> EUR, tj.</w:t>
      </w:r>
      <w:r w:rsidR="009C2501">
        <w:rPr>
          <w:rFonts w:ascii="Arial" w:hAnsi="Arial" w:cs="Arial"/>
        </w:rPr>
        <w:t>38,66</w:t>
      </w:r>
      <w:r w:rsidRPr="00416CB2">
        <w:rPr>
          <w:rFonts w:ascii="Arial" w:hAnsi="Arial" w:cs="Arial"/>
        </w:rPr>
        <w:t xml:space="preserve">% </w:t>
      </w:r>
      <w:r w:rsidR="005825CB" w:rsidRPr="00416CB2">
        <w:rPr>
          <w:rFonts w:ascii="Arial" w:hAnsi="Arial" w:cs="Arial"/>
        </w:rPr>
        <w:t xml:space="preserve">godišnjeg </w:t>
      </w:r>
      <w:r w:rsidRPr="00416CB2">
        <w:rPr>
          <w:rFonts w:ascii="Arial" w:hAnsi="Arial" w:cs="Arial"/>
        </w:rPr>
        <w:t xml:space="preserve">plana te </w:t>
      </w:r>
      <w:r w:rsidR="009C2501">
        <w:rPr>
          <w:rFonts w:ascii="Arial" w:hAnsi="Arial" w:cs="Arial"/>
        </w:rPr>
        <w:t>9,80</w:t>
      </w:r>
      <w:r w:rsidRPr="00416CB2">
        <w:rPr>
          <w:rFonts w:ascii="Arial" w:hAnsi="Arial" w:cs="Arial"/>
        </w:rPr>
        <w:t xml:space="preserve">% </w:t>
      </w:r>
      <w:r w:rsidR="005825CB" w:rsidRPr="00416CB2">
        <w:rPr>
          <w:rFonts w:ascii="Arial" w:hAnsi="Arial" w:cs="Arial"/>
        </w:rPr>
        <w:t>više</w:t>
      </w:r>
      <w:r w:rsidRPr="00416CB2">
        <w:rPr>
          <w:rFonts w:ascii="Arial" w:hAnsi="Arial" w:cs="Arial"/>
        </w:rPr>
        <w:t xml:space="preserve"> u odnosu na realizaciju prethodne godine. U strukturi materijalnih rashoda za promatrano razdoblje najznačajnije rashode čine</w:t>
      </w:r>
      <w:r w:rsidR="00E67931" w:rsidRPr="00416CB2">
        <w:rPr>
          <w:rFonts w:ascii="Arial" w:hAnsi="Arial" w:cs="Arial"/>
        </w:rPr>
        <w:t xml:space="preserve"> naknada za prijevoz na posao i iz posla zaposlenika, materijal i sirovina,</w:t>
      </w:r>
      <w:r w:rsidRPr="00416CB2">
        <w:rPr>
          <w:rFonts w:ascii="Arial" w:hAnsi="Arial" w:cs="Arial"/>
        </w:rPr>
        <w:t xml:space="preserve"> energenti i rashodi za usluge koji se najvećim d</w:t>
      </w:r>
      <w:r w:rsidR="002B0647">
        <w:rPr>
          <w:rFonts w:ascii="Arial" w:hAnsi="Arial" w:cs="Arial"/>
        </w:rPr>
        <w:t>i</w:t>
      </w:r>
      <w:r w:rsidRPr="00416CB2">
        <w:rPr>
          <w:rFonts w:ascii="Arial" w:hAnsi="Arial" w:cs="Arial"/>
        </w:rPr>
        <w:t xml:space="preserve">jelom sastoji </w:t>
      </w:r>
      <w:r w:rsidR="00BF51BF">
        <w:rPr>
          <w:rFonts w:ascii="Arial" w:hAnsi="Arial" w:cs="Arial"/>
        </w:rPr>
        <w:t>od</w:t>
      </w:r>
      <w:r w:rsidRPr="00416CB2">
        <w:rPr>
          <w:rFonts w:ascii="Arial" w:hAnsi="Arial" w:cs="Arial"/>
        </w:rPr>
        <w:t xml:space="preserve">  rashoda usluge tekućeg i investicijskog održavanja</w:t>
      </w:r>
      <w:r w:rsidR="00525603">
        <w:rPr>
          <w:rFonts w:ascii="Arial" w:hAnsi="Arial" w:cs="Arial"/>
        </w:rPr>
        <w:t xml:space="preserve"> te prijevoz učenika.</w:t>
      </w:r>
      <w:r w:rsidRPr="00416CB2">
        <w:rPr>
          <w:rFonts w:ascii="Arial" w:hAnsi="Arial" w:cs="Arial"/>
        </w:rPr>
        <w:t xml:space="preserve">. </w:t>
      </w:r>
    </w:p>
    <w:p w:rsidR="004C625E" w:rsidRDefault="00E67931" w:rsidP="004C625E">
      <w:pPr>
        <w:spacing w:line="240" w:lineRule="auto"/>
        <w:jc w:val="both"/>
        <w:rPr>
          <w:rFonts w:ascii="Arial" w:hAnsi="Arial" w:cs="Arial"/>
        </w:rPr>
      </w:pPr>
      <w:r w:rsidRPr="00416CB2">
        <w:rPr>
          <w:rFonts w:ascii="Arial" w:hAnsi="Arial" w:cs="Arial"/>
        </w:rPr>
        <w:t>Kod službenih putovanja povećani su troškovi jer je organizirano više terenske nastave i izleta</w:t>
      </w:r>
      <w:r w:rsidR="00525603">
        <w:rPr>
          <w:rFonts w:ascii="Arial" w:hAnsi="Arial" w:cs="Arial"/>
        </w:rPr>
        <w:t xml:space="preserve"> i učestvovalo se na više edukacija</w:t>
      </w:r>
      <w:r w:rsidR="004C625E">
        <w:rPr>
          <w:rFonts w:ascii="Arial" w:hAnsi="Arial" w:cs="Arial"/>
        </w:rPr>
        <w:t xml:space="preserve">. Povećani su rashodi </w:t>
      </w:r>
      <w:r w:rsidRPr="00416CB2">
        <w:rPr>
          <w:rFonts w:ascii="Arial" w:hAnsi="Arial" w:cs="Arial"/>
        </w:rPr>
        <w:t xml:space="preserve"> naknad</w:t>
      </w:r>
      <w:r w:rsidR="004C625E">
        <w:rPr>
          <w:rFonts w:ascii="Arial" w:hAnsi="Arial" w:cs="Arial"/>
        </w:rPr>
        <w:t>e</w:t>
      </w:r>
      <w:r w:rsidRPr="00416CB2">
        <w:rPr>
          <w:rFonts w:ascii="Arial" w:hAnsi="Arial" w:cs="Arial"/>
        </w:rPr>
        <w:t xml:space="preserve"> za prijevoz</w:t>
      </w:r>
      <w:r w:rsidR="004C625E">
        <w:rPr>
          <w:rFonts w:ascii="Arial" w:hAnsi="Arial" w:cs="Arial"/>
        </w:rPr>
        <w:t xml:space="preserve">. </w:t>
      </w:r>
      <w:r w:rsidR="004C625E" w:rsidRPr="004C625E">
        <w:rPr>
          <w:rFonts w:ascii="Arial" w:hAnsi="Arial" w:cs="Arial"/>
        </w:rPr>
        <w:t>Jedan od utjecaj na povećanje naknade za prijevoz je primjena Novog pravilnika u proračunskom računovodstvu te se prijevoz po plaći za 06/2025 priznao u rashode prema nastanku događaja.</w:t>
      </w:r>
      <w:r w:rsidRPr="00416CB2">
        <w:rPr>
          <w:rFonts w:ascii="Arial" w:hAnsi="Arial" w:cs="Arial"/>
        </w:rPr>
        <w:t xml:space="preserve"> </w:t>
      </w:r>
    </w:p>
    <w:p w:rsidR="00E469A0" w:rsidRDefault="00E67931" w:rsidP="00E469A0">
      <w:pPr>
        <w:spacing w:line="240" w:lineRule="auto"/>
        <w:jc w:val="both"/>
        <w:rPr>
          <w:rFonts w:ascii="Arial" w:hAnsi="Arial" w:cs="Arial"/>
        </w:rPr>
      </w:pPr>
      <w:r w:rsidRPr="00416CB2">
        <w:rPr>
          <w:rFonts w:ascii="Arial" w:hAnsi="Arial" w:cs="Arial"/>
        </w:rPr>
        <w:t xml:space="preserve">Ostale naknade troškova zaposlenika </w:t>
      </w:r>
      <w:r w:rsidR="004C625E">
        <w:rPr>
          <w:rFonts w:ascii="Arial" w:hAnsi="Arial" w:cs="Arial"/>
        </w:rPr>
        <w:t>povećane</w:t>
      </w:r>
      <w:r w:rsidRPr="00416CB2">
        <w:rPr>
          <w:rFonts w:ascii="Arial" w:hAnsi="Arial" w:cs="Arial"/>
        </w:rPr>
        <w:t xml:space="preserve"> su u odnosu na prethodno razdoblje a odnose se na </w:t>
      </w:r>
      <w:proofErr w:type="spellStart"/>
      <w:r w:rsidRPr="00416CB2">
        <w:rPr>
          <w:rFonts w:ascii="Arial" w:hAnsi="Arial" w:cs="Arial"/>
        </w:rPr>
        <w:t>loko</w:t>
      </w:r>
      <w:proofErr w:type="spellEnd"/>
      <w:r w:rsidRPr="00416CB2">
        <w:rPr>
          <w:rFonts w:ascii="Arial" w:hAnsi="Arial" w:cs="Arial"/>
        </w:rPr>
        <w:t xml:space="preserve"> vožnju.</w:t>
      </w:r>
      <w:r w:rsidR="00F248F2" w:rsidRPr="00416CB2">
        <w:rPr>
          <w:rFonts w:ascii="Arial" w:hAnsi="Arial" w:cs="Arial"/>
        </w:rPr>
        <w:t xml:space="preserve"> </w:t>
      </w:r>
      <w:r w:rsidRPr="00416CB2">
        <w:rPr>
          <w:rFonts w:ascii="Arial" w:hAnsi="Arial" w:cs="Arial"/>
        </w:rPr>
        <w:t xml:space="preserve">Kod rashoda za uredski materijal i ostale materijalne rashode i Materijal i sirovinu </w:t>
      </w:r>
      <w:r w:rsidR="00760B64">
        <w:rPr>
          <w:rFonts w:ascii="Arial" w:hAnsi="Arial" w:cs="Arial"/>
        </w:rPr>
        <w:t>troškovi su neznatno smanjeni u odnosu na prethodno</w:t>
      </w:r>
      <w:r w:rsidR="000E1B4D">
        <w:rPr>
          <w:rFonts w:ascii="Arial" w:hAnsi="Arial" w:cs="Arial"/>
        </w:rPr>
        <w:t xml:space="preserve"> razdoblje</w:t>
      </w:r>
      <w:r w:rsidRPr="00416CB2">
        <w:rPr>
          <w:rFonts w:ascii="Arial" w:hAnsi="Arial" w:cs="Arial"/>
        </w:rPr>
        <w:t>.</w:t>
      </w:r>
      <w:r w:rsidR="007452B6" w:rsidRPr="00416CB2">
        <w:rPr>
          <w:rFonts w:ascii="Arial" w:hAnsi="Arial" w:cs="Arial"/>
        </w:rPr>
        <w:t xml:space="preserve"> </w:t>
      </w:r>
      <w:r w:rsidRPr="00416CB2">
        <w:rPr>
          <w:rFonts w:ascii="Arial" w:hAnsi="Arial" w:cs="Arial"/>
        </w:rPr>
        <w:t xml:space="preserve">Sitni inventar i auto gume </w:t>
      </w:r>
      <w:r w:rsidR="00760B64">
        <w:rPr>
          <w:rFonts w:ascii="Arial" w:hAnsi="Arial" w:cs="Arial"/>
        </w:rPr>
        <w:t xml:space="preserve">smanjeni su u odnosu na </w:t>
      </w:r>
      <w:r w:rsidRPr="00416CB2">
        <w:rPr>
          <w:rFonts w:ascii="Arial" w:hAnsi="Arial" w:cs="Arial"/>
        </w:rPr>
        <w:t xml:space="preserve"> prethodnu godinu</w:t>
      </w:r>
      <w:r w:rsidR="002B0216" w:rsidRPr="00416CB2">
        <w:rPr>
          <w:rFonts w:ascii="Arial" w:hAnsi="Arial" w:cs="Arial"/>
        </w:rPr>
        <w:t>.</w:t>
      </w:r>
      <w:r w:rsidR="007452B6" w:rsidRPr="00416CB2">
        <w:rPr>
          <w:rFonts w:ascii="Arial" w:hAnsi="Arial" w:cs="Arial"/>
        </w:rPr>
        <w:t xml:space="preserve"> Usluga telefona, pošte i prijevoza povećani su zbog povećanja cijena usluge. </w:t>
      </w:r>
      <w:r w:rsidR="00760B64" w:rsidRPr="00760B64">
        <w:rPr>
          <w:rFonts w:ascii="Arial" w:hAnsi="Arial" w:cs="Arial"/>
        </w:rPr>
        <w:t>Povećane su komunalne usluge zbog povećanja cijena te usluge pražnjenja septičke jame u PŠ Sveta Katarina..</w:t>
      </w:r>
      <w:r w:rsidR="00760B64">
        <w:rPr>
          <w:rFonts w:ascii="Arial" w:hAnsi="Arial" w:cs="Arial"/>
        </w:rPr>
        <w:t xml:space="preserve"> </w:t>
      </w:r>
      <w:r w:rsidR="007452B6" w:rsidRPr="00760B64">
        <w:rPr>
          <w:rFonts w:ascii="Arial" w:hAnsi="Arial" w:cs="Arial"/>
        </w:rPr>
        <w:t>Zdravstvene i veterinarske us</w:t>
      </w:r>
      <w:r w:rsidR="008B00FE">
        <w:rPr>
          <w:rFonts w:ascii="Arial" w:hAnsi="Arial" w:cs="Arial"/>
        </w:rPr>
        <w:t>luge povećane</w:t>
      </w:r>
      <w:r w:rsidR="007452B6" w:rsidRPr="00416CB2">
        <w:rPr>
          <w:rFonts w:ascii="Arial" w:hAnsi="Arial" w:cs="Arial"/>
        </w:rPr>
        <w:t xml:space="preserve"> su u odnosu na prethodnu godinu zbog</w:t>
      </w:r>
      <w:r w:rsidR="00760B64">
        <w:rPr>
          <w:rFonts w:ascii="Arial" w:hAnsi="Arial" w:cs="Arial"/>
        </w:rPr>
        <w:t xml:space="preserve"> zapošljavanja novih zaposlenika </w:t>
      </w:r>
      <w:r w:rsidR="00E469A0">
        <w:rPr>
          <w:rFonts w:ascii="Arial" w:hAnsi="Arial" w:cs="Arial"/>
        </w:rPr>
        <w:t>pomoćnika u nastavi koji su</w:t>
      </w:r>
      <w:r w:rsidR="000E1B4D">
        <w:rPr>
          <w:rFonts w:ascii="Arial" w:hAnsi="Arial" w:cs="Arial"/>
        </w:rPr>
        <w:t xml:space="preserve"> bili</w:t>
      </w:r>
      <w:r w:rsidR="00E469A0">
        <w:rPr>
          <w:rFonts w:ascii="Arial" w:hAnsi="Arial" w:cs="Arial"/>
        </w:rPr>
        <w:t xml:space="preserve"> obvezni napravit</w:t>
      </w:r>
      <w:r w:rsidR="000E1B4D">
        <w:rPr>
          <w:rFonts w:ascii="Arial" w:hAnsi="Arial" w:cs="Arial"/>
        </w:rPr>
        <w:t>i</w:t>
      </w:r>
      <w:r w:rsidR="00E469A0">
        <w:rPr>
          <w:rFonts w:ascii="Arial" w:hAnsi="Arial" w:cs="Arial"/>
        </w:rPr>
        <w:t xml:space="preserve"> sistematski pregled</w:t>
      </w:r>
      <w:r w:rsidR="007452B6" w:rsidRPr="00601374">
        <w:rPr>
          <w:rFonts w:ascii="Arial" w:hAnsi="Arial" w:cs="Arial"/>
        </w:rPr>
        <w:t>.</w:t>
      </w:r>
      <w:r w:rsidR="007452B6">
        <w:rPr>
          <w:rFonts w:ascii="Arial" w:hAnsi="Arial" w:cs="Arial"/>
        </w:rPr>
        <w:t xml:space="preserve"> </w:t>
      </w:r>
      <w:r w:rsidR="00E469A0" w:rsidRPr="00760B64">
        <w:rPr>
          <w:rFonts w:ascii="Arial" w:hAnsi="Arial" w:cs="Arial"/>
        </w:rPr>
        <w:t xml:space="preserve">Računalne usluge povećane su zbog uvođenja novog programa </w:t>
      </w:r>
      <w:proofErr w:type="spellStart"/>
      <w:r w:rsidR="00E469A0" w:rsidRPr="00760B64">
        <w:rPr>
          <w:rFonts w:ascii="Arial" w:hAnsi="Arial" w:cs="Arial"/>
        </w:rPr>
        <w:t>Libusoft</w:t>
      </w:r>
      <w:proofErr w:type="spellEnd"/>
      <w:r w:rsidR="00E469A0" w:rsidRPr="00760B64">
        <w:rPr>
          <w:rFonts w:ascii="Arial" w:hAnsi="Arial" w:cs="Arial"/>
        </w:rPr>
        <w:t xml:space="preserve"> </w:t>
      </w:r>
      <w:proofErr w:type="spellStart"/>
      <w:r w:rsidR="00E469A0" w:rsidRPr="00760B64">
        <w:rPr>
          <w:rFonts w:ascii="Arial" w:hAnsi="Arial" w:cs="Arial"/>
        </w:rPr>
        <w:t>Cicum</w:t>
      </w:r>
      <w:proofErr w:type="spellEnd"/>
      <w:r w:rsidR="007452B6" w:rsidRPr="00416CB2">
        <w:rPr>
          <w:rFonts w:ascii="Arial" w:hAnsi="Arial" w:cs="Arial"/>
        </w:rPr>
        <w:t>.</w:t>
      </w:r>
      <w:r w:rsidR="00D7041A" w:rsidRPr="00416CB2">
        <w:rPr>
          <w:rFonts w:ascii="Arial" w:hAnsi="Arial" w:cs="Arial"/>
        </w:rPr>
        <w:t xml:space="preserve"> </w:t>
      </w:r>
      <w:r w:rsidR="007452B6" w:rsidRPr="00416CB2">
        <w:rPr>
          <w:rFonts w:ascii="Arial" w:hAnsi="Arial" w:cs="Arial"/>
        </w:rPr>
        <w:t>Pristojbe i naknade   povećani su zbog povećanja naknade zbog nezapošljavanja invalida.</w:t>
      </w:r>
    </w:p>
    <w:p w:rsidR="00B55C79" w:rsidRDefault="00B55C79" w:rsidP="00E469A0">
      <w:pPr>
        <w:spacing w:line="240" w:lineRule="auto"/>
        <w:jc w:val="both"/>
        <w:rPr>
          <w:rFonts w:ascii="Arial" w:hAnsi="Arial" w:cs="Arial"/>
        </w:rPr>
      </w:pPr>
      <w:r w:rsidRPr="00416CB2">
        <w:rPr>
          <w:rFonts w:ascii="Arial" w:hAnsi="Arial" w:cs="Arial"/>
        </w:rPr>
        <w:t xml:space="preserve">U tekućem razdoblju financijski rashodi ostvareni su u iznosu od </w:t>
      </w:r>
      <w:r w:rsidR="00D7041A" w:rsidRPr="00416CB2">
        <w:rPr>
          <w:rFonts w:ascii="Arial" w:hAnsi="Arial" w:cs="Arial"/>
        </w:rPr>
        <w:t>258,91</w:t>
      </w:r>
      <w:r w:rsidRPr="00416CB2">
        <w:rPr>
          <w:rFonts w:ascii="Arial" w:hAnsi="Arial" w:cs="Arial"/>
        </w:rPr>
        <w:t xml:space="preserve"> EUR, odnosno </w:t>
      </w:r>
      <w:r w:rsidR="00D7041A" w:rsidRPr="00416CB2">
        <w:rPr>
          <w:rFonts w:ascii="Arial" w:hAnsi="Arial" w:cs="Arial"/>
        </w:rPr>
        <w:t>43,15</w:t>
      </w:r>
      <w:r w:rsidRPr="00416CB2">
        <w:rPr>
          <w:rFonts w:ascii="Arial" w:hAnsi="Arial" w:cs="Arial"/>
        </w:rPr>
        <w:t xml:space="preserve"> % godišnjeg plana te </w:t>
      </w:r>
      <w:r w:rsidR="00D7041A" w:rsidRPr="00416CB2">
        <w:rPr>
          <w:rFonts w:ascii="Arial" w:hAnsi="Arial" w:cs="Arial"/>
        </w:rPr>
        <w:t>103,67</w:t>
      </w:r>
      <w:r w:rsidRPr="00416CB2">
        <w:rPr>
          <w:rFonts w:ascii="Arial" w:hAnsi="Arial" w:cs="Arial"/>
        </w:rPr>
        <w:t>% realizacije prethodnog razdoblja. Nastali rashodi odnose se na bankarske usluge platnog prometa.</w:t>
      </w:r>
    </w:p>
    <w:p w:rsidR="00E469A0" w:rsidRPr="00416CB2" w:rsidRDefault="00E469A0" w:rsidP="00E469A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Ostale naknade građanima i kućanstvima iz proračuna odnosi se na</w:t>
      </w:r>
      <w:r w:rsidR="00501B3E">
        <w:rPr>
          <w:rFonts w:ascii="Arial" w:hAnsi="Arial" w:cs="Arial"/>
        </w:rPr>
        <w:t xml:space="preserve"> organiziran</w:t>
      </w:r>
      <w:r>
        <w:rPr>
          <w:rFonts w:ascii="Arial" w:hAnsi="Arial" w:cs="Arial"/>
        </w:rPr>
        <w:t xml:space="preserve"> prijevoz u</w:t>
      </w:r>
      <w:r w:rsidR="00C96C65">
        <w:rPr>
          <w:rFonts w:ascii="Arial" w:hAnsi="Arial" w:cs="Arial"/>
        </w:rPr>
        <w:t>čenika u školu i povratak kući</w:t>
      </w:r>
      <w:r>
        <w:rPr>
          <w:rFonts w:ascii="Arial" w:hAnsi="Arial" w:cs="Arial"/>
        </w:rPr>
        <w:t>. U odnosu na prethodno razdoblje povećani su za 118,30%. Razlog povećanja je povećanje cijene prijevoza.</w:t>
      </w:r>
    </w:p>
    <w:p w:rsidR="00B55C79" w:rsidRPr="00416CB2" w:rsidRDefault="00B55C79" w:rsidP="00B55C79">
      <w:pPr>
        <w:rPr>
          <w:rFonts w:ascii="Arial" w:hAnsi="Arial" w:cs="Arial"/>
          <w:b/>
        </w:rPr>
      </w:pPr>
      <w:r w:rsidRPr="00416CB2">
        <w:rPr>
          <w:rFonts w:ascii="Arial" w:hAnsi="Arial" w:cs="Arial"/>
          <w:b/>
        </w:rPr>
        <w:t>1.4. Rashodi za nabavu nefinancijske imovine</w:t>
      </w:r>
    </w:p>
    <w:p w:rsidR="002634D0" w:rsidRPr="00416CB2" w:rsidRDefault="00F22A1E" w:rsidP="002634D0">
      <w:pPr>
        <w:jc w:val="both"/>
        <w:rPr>
          <w:rFonts w:ascii="Arial" w:hAnsi="Arial" w:cs="Arial"/>
        </w:rPr>
      </w:pPr>
      <w:r w:rsidRPr="00416CB2">
        <w:rPr>
          <w:rFonts w:ascii="Arial" w:hAnsi="Arial" w:cs="Arial"/>
        </w:rPr>
        <w:t xml:space="preserve">Uredska oprema i namještaj </w:t>
      </w:r>
      <w:r w:rsidR="002634D0" w:rsidRPr="00416CB2">
        <w:rPr>
          <w:rFonts w:ascii="Arial" w:hAnsi="Arial" w:cs="Arial"/>
        </w:rPr>
        <w:t>smanjeni</w:t>
      </w:r>
      <w:r w:rsidRPr="00416CB2">
        <w:rPr>
          <w:rFonts w:ascii="Arial" w:hAnsi="Arial" w:cs="Arial"/>
        </w:rPr>
        <w:t xml:space="preserve"> su u odnosu na prethodno razdoblje.</w:t>
      </w:r>
      <w:r w:rsidR="002634D0" w:rsidRPr="00416CB2">
        <w:rPr>
          <w:rFonts w:ascii="Arial" w:hAnsi="Arial" w:cs="Arial"/>
        </w:rPr>
        <w:t xml:space="preserve"> </w:t>
      </w:r>
      <w:r w:rsidR="00B55C79" w:rsidRPr="00416CB2">
        <w:rPr>
          <w:rFonts w:ascii="Arial" w:hAnsi="Arial" w:cs="Arial"/>
        </w:rPr>
        <w:t xml:space="preserve">Ukupni rashodi za nabavu nefinancijske imovine ostvareni su u iznosu od </w:t>
      </w:r>
      <w:r w:rsidR="003B1547">
        <w:rPr>
          <w:rFonts w:ascii="Arial" w:hAnsi="Arial" w:cs="Arial"/>
        </w:rPr>
        <w:t>2.828,17</w:t>
      </w:r>
      <w:r w:rsidR="00B55C79" w:rsidRPr="00416CB2">
        <w:rPr>
          <w:rFonts w:ascii="Arial" w:hAnsi="Arial" w:cs="Arial"/>
        </w:rPr>
        <w:t xml:space="preserve"> EUR odnosno </w:t>
      </w:r>
      <w:r w:rsidR="003B1547">
        <w:rPr>
          <w:rFonts w:ascii="Arial" w:hAnsi="Arial" w:cs="Arial"/>
        </w:rPr>
        <w:t>11,10</w:t>
      </w:r>
      <w:r w:rsidR="002634D0" w:rsidRPr="00416CB2">
        <w:rPr>
          <w:rFonts w:ascii="Arial" w:hAnsi="Arial" w:cs="Arial"/>
        </w:rPr>
        <w:t>%</w:t>
      </w:r>
      <w:r w:rsidR="00B55C79" w:rsidRPr="00416CB2">
        <w:rPr>
          <w:rFonts w:ascii="Arial" w:hAnsi="Arial" w:cs="Arial"/>
        </w:rPr>
        <w:t xml:space="preserve"> Plana za 202</w:t>
      </w:r>
      <w:r w:rsidR="003B1547">
        <w:rPr>
          <w:rFonts w:ascii="Arial" w:hAnsi="Arial" w:cs="Arial"/>
        </w:rPr>
        <w:t>5</w:t>
      </w:r>
      <w:r w:rsidR="00B55C79" w:rsidRPr="00416CB2">
        <w:rPr>
          <w:rFonts w:ascii="Arial" w:hAnsi="Arial" w:cs="Arial"/>
        </w:rPr>
        <w:t>.godinu</w:t>
      </w:r>
      <w:r w:rsidR="00B55C79" w:rsidRPr="007C662C">
        <w:rPr>
          <w:rFonts w:ascii="Arial" w:hAnsi="Arial" w:cs="Arial"/>
        </w:rPr>
        <w:t xml:space="preserve">. U odnosu na prethodno razdoblje </w:t>
      </w:r>
      <w:r w:rsidR="003B1547" w:rsidRPr="007C662C">
        <w:rPr>
          <w:rFonts w:ascii="Arial" w:hAnsi="Arial" w:cs="Arial"/>
        </w:rPr>
        <w:t>57,90</w:t>
      </w:r>
      <w:r w:rsidR="00B55C79" w:rsidRPr="007C662C">
        <w:rPr>
          <w:rFonts w:ascii="Arial" w:hAnsi="Arial" w:cs="Arial"/>
        </w:rPr>
        <w:t xml:space="preserve"> %</w:t>
      </w:r>
      <w:r w:rsidR="002634D0" w:rsidRPr="007C662C">
        <w:rPr>
          <w:rFonts w:ascii="Arial" w:hAnsi="Arial" w:cs="Arial"/>
        </w:rPr>
        <w:t>.</w:t>
      </w:r>
      <w:r w:rsidR="00B55C79" w:rsidRPr="007C662C">
        <w:rPr>
          <w:rFonts w:ascii="Arial" w:hAnsi="Arial" w:cs="Arial"/>
        </w:rPr>
        <w:t xml:space="preserve"> </w:t>
      </w:r>
      <w:r w:rsidR="003B1547" w:rsidRPr="007C662C">
        <w:rPr>
          <w:rFonts w:ascii="Arial" w:hAnsi="Arial" w:cs="Arial"/>
        </w:rPr>
        <w:t xml:space="preserve">U prethodnom </w:t>
      </w:r>
      <w:r w:rsidR="003B1547">
        <w:rPr>
          <w:rFonts w:ascii="Arial" w:hAnsi="Arial" w:cs="Arial"/>
        </w:rPr>
        <w:t>razdoblju nabavljen je školski namještaj u iznosu od 3.918,75 EUR</w:t>
      </w:r>
      <w:r w:rsidR="003B1547" w:rsidRPr="00416CB2">
        <w:rPr>
          <w:rFonts w:ascii="Arial" w:hAnsi="Arial" w:cs="Arial"/>
        </w:rPr>
        <w:t xml:space="preserve">, </w:t>
      </w:r>
      <w:r w:rsidR="003B1547">
        <w:rPr>
          <w:rFonts w:ascii="Arial" w:hAnsi="Arial" w:cs="Arial"/>
        </w:rPr>
        <w:t xml:space="preserve">financiran iz sredstava Istarske županije. U tekućem razdoblju nabavljen je školska oprema iz sredstava Općine </w:t>
      </w:r>
      <w:proofErr w:type="spellStart"/>
      <w:r w:rsidR="003B1547">
        <w:rPr>
          <w:rFonts w:ascii="Arial" w:hAnsi="Arial" w:cs="Arial"/>
        </w:rPr>
        <w:t>Pićan</w:t>
      </w:r>
      <w:proofErr w:type="spellEnd"/>
      <w:r w:rsidR="003B1547" w:rsidRPr="00416CB2">
        <w:rPr>
          <w:rFonts w:ascii="Arial" w:hAnsi="Arial" w:cs="Arial"/>
        </w:rPr>
        <w:t>.</w:t>
      </w:r>
    </w:p>
    <w:p w:rsidR="00B55C79" w:rsidRPr="00416CB2" w:rsidRDefault="00B55C79" w:rsidP="00B55C79">
      <w:pPr>
        <w:rPr>
          <w:rFonts w:ascii="Arial" w:hAnsi="Arial" w:cs="Arial"/>
          <w:b/>
        </w:rPr>
      </w:pPr>
      <w:r w:rsidRPr="00416CB2">
        <w:rPr>
          <w:rFonts w:ascii="Arial" w:hAnsi="Arial" w:cs="Arial"/>
          <w:b/>
        </w:rPr>
        <w:t>1.5. Obrazloženje prijenosa sredstva iz prethodne godine i prijenos sredstava u naredno razdoblje</w:t>
      </w:r>
    </w:p>
    <w:p w:rsidR="00B55C79" w:rsidRPr="00416CB2" w:rsidRDefault="00B55C79" w:rsidP="00B55C79">
      <w:pPr>
        <w:rPr>
          <w:rFonts w:ascii="Arial" w:hAnsi="Arial" w:cs="Arial"/>
        </w:rPr>
      </w:pPr>
      <w:r w:rsidRPr="00416CB2">
        <w:rPr>
          <w:rFonts w:ascii="Arial" w:hAnsi="Arial" w:cs="Arial"/>
        </w:rPr>
        <w:t>Ostvareni manjak prihoda i primitaka za razdoblje 01-06/202</w:t>
      </w:r>
      <w:r w:rsidR="00454725">
        <w:rPr>
          <w:rFonts w:ascii="Arial" w:hAnsi="Arial" w:cs="Arial"/>
        </w:rPr>
        <w:t>5</w:t>
      </w:r>
      <w:r w:rsidRPr="00416CB2">
        <w:rPr>
          <w:rFonts w:ascii="Arial" w:hAnsi="Arial" w:cs="Arial"/>
        </w:rPr>
        <w:t xml:space="preserve">.godine iznosi </w:t>
      </w:r>
      <w:r w:rsidR="00454725">
        <w:rPr>
          <w:rFonts w:ascii="Arial" w:hAnsi="Arial" w:cs="Arial"/>
        </w:rPr>
        <w:t>108.149,29</w:t>
      </w:r>
      <w:r w:rsidRPr="00416CB2">
        <w:rPr>
          <w:rFonts w:ascii="Arial" w:hAnsi="Arial" w:cs="Arial"/>
        </w:rPr>
        <w:t xml:space="preserve"> EUR. Pribrajanjem  viška od </w:t>
      </w:r>
      <w:r w:rsidR="00287518">
        <w:rPr>
          <w:rFonts w:ascii="Arial" w:hAnsi="Arial" w:cs="Arial"/>
        </w:rPr>
        <w:t>5</w:t>
      </w:r>
      <w:r w:rsidR="00FE2CD1">
        <w:rPr>
          <w:rFonts w:ascii="Arial" w:hAnsi="Arial" w:cs="Arial"/>
        </w:rPr>
        <w:t>.</w:t>
      </w:r>
      <w:r w:rsidR="00287518">
        <w:rPr>
          <w:rFonts w:ascii="Arial" w:hAnsi="Arial" w:cs="Arial"/>
        </w:rPr>
        <w:t>290,51</w:t>
      </w:r>
      <w:r w:rsidRPr="00416CB2">
        <w:rPr>
          <w:rFonts w:ascii="Arial" w:hAnsi="Arial" w:cs="Arial"/>
        </w:rPr>
        <w:t xml:space="preserve"> EUR iz prethodne godine nastaje manjak prih</w:t>
      </w:r>
      <w:r w:rsidR="007C662C">
        <w:rPr>
          <w:rFonts w:ascii="Arial" w:hAnsi="Arial" w:cs="Arial"/>
        </w:rPr>
        <w:t>oda i primitaka raspoloživ u sl</w:t>
      </w:r>
      <w:r w:rsidRPr="00416CB2">
        <w:rPr>
          <w:rFonts w:ascii="Arial" w:hAnsi="Arial" w:cs="Arial"/>
        </w:rPr>
        <w:t xml:space="preserve">jedećem razdoblju u iznosu od </w:t>
      </w:r>
      <w:r w:rsidR="00287518">
        <w:rPr>
          <w:rFonts w:ascii="Arial" w:hAnsi="Arial" w:cs="Arial"/>
        </w:rPr>
        <w:t>102.858,78</w:t>
      </w:r>
      <w:r w:rsidRPr="00416CB2">
        <w:rPr>
          <w:rFonts w:ascii="Arial" w:hAnsi="Arial" w:cs="Arial"/>
        </w:rPr>
        <w:t xml:space="preserve"> EUR.</w:t>
      </w:r>
    </w:p>
    <w:p w:rsidR="00E57F8A" w:rsidRDefault="00B55C79" w:rsidP="00E57F8A">
      <w:pPr>
        <w:spacing w:after="0" w:line="240" w:lineRule="auto"/>
        <w:rPr>
          <w:rFonts w:ascii="Arial" w:hAnsi="Arial" w:cs="Arial"/>
        </w:rPr>
      </w:pPr>
      <w:r w:rsidRPr="00416CB2">
        <w:rPr>
          <w:rFonts w:ascii="Arial" w:hAnsi="Arial" w:cs="Arial"/>
        </w:rPr>
        <w:lastRenderedPageBreak/>
        <w:t>Na</w:t>
      </w:r>
      <w:r w:rsidR="00E57F8A" w:rsidRPr="00416CB2">
        <w:rPr>
          <w:rFonts w:ascii="Arial" w:hAnsi="Arial" w:cs="Arial"/>
        </w:rPr>
        <w:t>stali višak/ manjak po izvorima:</w:t>
      </w:r>
    </w:p>
    <w:p w:rsidR="00FB6E89" w:rsidRPr="00FB6E89" w:rsidRDefault="00FB6E89" w:rsidP="00E57F8A">
      <w:pPr>
        <w:spacing w:after="0" w:line="240" w:lineRule="auto"/>
        <w:jc w:val="both"/>
        <w:rPr>
          <w:rFonts w:ascii="Arial" w:eastAsia="Times New Roman" w:hAnsi="Arial" w:cs="Arial"/>
        </w:rPr>
      </w:pPr>
      <w:r w:rsidRPr="00FB6E89">
        <w:rPr>
          <w:rFonts w:ascii="Arial" w:eastAsia="Times New Roman" w:hAnsi="Arial" w:cs="Arial"/>
        </w:rPr>
        <w:t xml:space="preserve"> 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677"/>
        <w:gridCol w:w="1519"/>
        <w:gridCol w:w="1511"/>
        <w:gridCol w:w="1535"/>
        <w:gridCol w:w="1408"/>
        <w:gridCol w:w="1412"/>
      </w:tblGrid>
      <w:tr w:rsidR="00FB6E89" w:rsidRPr="00FB6E89" w:rsidTr="00436678">
        <w:trPr>
          <w:trHeight w:val="889"/>
        </w:trPr>
        <w:tc>
          <w:tcPr>
            <w:tcW w:w="1677" w:type="dxa"/>
            <w:shd w:val="clear" w:color="auto" w:fill="D9D9D9" w:themeFill="background1" w:themeFillShade="D9"/>
          </w:tcPr>
          <w:p w:rsidR="00FB6E89" w:rsidRPr="00FB6E89" w:rsidRDefault="00FB6E89" w:rsidP="00FB6E89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 xml:space="preserve">NAZIV IZVORA </w:t>
            </w:r>
          </w:p>
          <w:p w:rsidR="00FB6E89" w:rsidRPr="00FB6E89" w:rsidRDefault="00FB6E89" w:rsidP="00FB6E89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>PRIHODA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FB6E89" w:rsidRPr="00FB6E89" w:rsidRDefault="00FB6E89" w:rsidP="00FB6E89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>IZVOR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FB6E89" w:rsidRPr="00FB6E89" w:rsidRDefault="00FB6E89" w:rsidP="00FB6E89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>VIŠAK /</w:t>
            </w:r>
          </w:p>
          <w:p w:rsidR="00FB6E89" w:rsidRPr="00FB6E89" w:rsidRDefault="00FB6E89" w:rsidP="00763A0A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>MANJAK 202</w:t>
            </w:r>
            <w:r w:rsidR="00763A0A">
              <w:rPr>
                <w:rFonts w:ascii="Calibri" w:eastAsia="Calibri" w:hAnsi="Calibri"/>
                <w:b/>
                <w:bCs/>
              </w:rPr>
              <w:t>4</w:t>
            </w:r>
            <w:r w:rsidRPr="00FB6E89">
              <w:rPr>
                <w:rFonts w:ascii="Calibri" w:eastAsia="Calibri" w:hAnsi="Calibri"/>
                <w:b/>
                <w:bCs/>
              </w:rPr>
              <w:t>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FB6E89" w:rsidRDefault="00FB6E89" w:rsidP="00FB6E89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>REALIZIRANI PRIHODI</w:t>
            </w:r>
          </w:p>
          <w:p w:rsidR="001C7C21" w:rsidRPr="00FB6E89" w:rsidRDefault="001C7C21" w:rsidP="00FB6E89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30.06.2025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FB6E89" w:rsidRDefault="00FB6E89" w:rsidP="00FB6E89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>REALIZIRANI RASHODI</w:t>
            </w:r>
          </w:p>
          <w:p w:rsidR="001C7C21" w:rsidRPr="00FB6E89" w:rsidRDefault="001C7C21" w:rsidP="00FB6E89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30.06.2025.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FB6E89" w:rsidRPr="00FB6E89" w:rsidRDefault="00FB6E89" w:rsidP="00FB6E89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>VIŠAK / MANJAK</w:t>
            </w:r>
          </w:p>
          <w:p w:rsidR="00FB6E89" w:rsidRPr="00FB6E89" w:rsidRDefault="00763A0A" w:rsidP="00FB6E89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30.06.2025</w:t>
            </w:r>
            <w:r w:rsidR="00FB6E89" w:rsidRPr="00FB6E89">
              <w:rPr>
                <w:rFonts w:ascii="Calibri" w:eastAsia="Calibri" w:hAnsi="Calibri"/>
                <w:b/>
                <w:bCs/>
              </w:rPr>
              <w:t>.</w:t>
            </w:r>
          </w:p>
          <w:p w:rsidR="00FB6E89" w:rsidRPr="00FB6E89" w:rsidRDefault="00FB6E89" w:rsidP="00FB6E89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>(3+4-5)</w:t>
            </w:r>
          </w:p>
        </w:tc>
      </w:tr>
      <w:tr w:rsidR="00FB6E89" w:rsidRPr="00FB6E89" w:rsidTr="00436678">
        <w:trPr>
          <w:trHeight w:val="664"/>
        </w:trPr>
        <w:tc>
          <w:tcPr>
            <w:tcW w:w="1677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Opći prihodi i primici</w:t>
            </w:r>
            <w:r w:rsidR="006D7771">
              <w:rPr>
                <w:rFonts w:ascii="Calibri" w:eastAsia="Calibri" w:hAnsi="Calibri"/>
              </w:rPr>
              <w:t>-namjenski</w:t>
            </w:r>
          </w:p>
        </w:tc>
        <w:tc>
          <w:tcPr>
            <w:tcW w:w="1519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1.1.</w:t>
            </w:r>
          </w:p>
        </w:tc>
        <w:tc>
          <w:tcPr>
            <w:tcW w:w="1511" w:type="dxa"/>
          </w:tcPr>
          <w:p w:rsidR="00FB6E89" w:rsidRPr="00FB6E89" w:rsidRDefault="00FB6E89" w:rsidP="00763A0A">
            <w:pPr>
              <w:jc w:val="center"/>
              <w:rPr>
                <w:rFonts w:ascii="Calibri" w:eastAsia="Calibri" w:hAnsi="Calibri"/>
              </w:rPr>
            </w:pPr>
          </w:p>
          <w:p w:rsidR="00FB6E89" w:rsidRPr="00FB6E89" w:rsidRDefault="00763A0A" w:rsidP="00763A0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535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44.537,95</w:t>
            </w:r>
          </w:p>
        </w:tc>
        <w:tc>
          <w:tcPr>
            <w:tcW w:w="1408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51.497,16</w:t>
            </w:r>
          </w:p>
        </w:tc>
        <w:tc>
          <w:tcPr>
            <w:tcW w:w="1412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436678" w:rsidP="00763A0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  <w:r w:rsidR="00FB6E89" w:rsidRPr="00FB6E89">
              <w:rPr>
                <w:rFonts w:ascii="Calibri" w:eastAsia="Calibri" w:hAnsi="Calibri"/>
              </w:rPr>
              <w:t>-</w:t>
            </w:r>
            <w:r w:rsidR="00763A0A">
              <w:rPr>
                <w:rFonts w:ascii="Calibri" w:eastAsia="Calibri" w:hAnsi="Calibri"/>
              </w:rPr>
              <w:t>6.959,21</w:t>
            </w:r>
          </w:p>
        </w:tc>
      </w:tr>
      <w:tr w:rsidR="00FB6E89" w:rsidRPr="00FB6E89" w:rsidTr="00436678">
        <w:trPr>
          <w:trHeight w:val="404"/>
        </w:trPr>
        <w:tc>
          <w:tcPr>
            <w:tcW w:w="1677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 xml:space="preserve">Vlastiti prihodi </w:t>
            </w:r>
          </w:p>
        </w:tc>
        <w:tc>
          <w:tcPr>
            <w:tcW w:w="1519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3.</w:t>
            </w:r>
            <w:r>
              <w:rPr>
                <w:rFonts w:ascii="Calibri" w:eastAsia="Calibri" w:hAnsi="Calibri"/>
              </w:rPr>
              <w:t>2.</w:t>
            </w:r>
          </w:p>
        </w:tc>
        <w:tc>
          <w:tcPr>
            <w:tcW w:w="1511" w:type="dxa"/>
          </w:tcPr>
          <w:p w:rsidR="00FB6E89" w:rsidRPr="00FB6E89" w:rsidRDefault="00FB6E89" w:rsidP="00763A0A">
            <w:pPr>
              <w:jc w:val="center"/>
              <w:rPr>
                <w:rFonts w:ascii="Calibri" w:eastAsia="Calibri" w:hAnsi="Calibri"/>
              </w:rPr>
            </w:pPr>
          </w:p>
          <w:p w:rsidR="00FB6E89" w:rsidRPr="00FB6E89" w:rsidRDefault="00763A0A" w:rsidP="00763A0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312,33</w:t>
            </w:r>
          </w:p>
        </w:tc>
        <w:tc>
          <w:tcPr>
            <w:tcW w:w="1535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254,86</w:t>
            </w:r>
          </w:p>
        </w:tc>
        <w:tc>
          <w:tcPr>
            <w:tcW w:w="1408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66,90</w:t>
            </w:r>
          </w:p>
        </w:tc>
        <w:tc>
          <w:tcPr>
            <w:tcW w:w="1412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763A0A" w:rsidP="00FB6E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</w:t>
            </w:r>
            <w:r w:rsidR="00436678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500,29</w:t>
            </w:r>
          </w:p>
        </w:tc>
      </w:tr>
      <w:tr w:rsidR="00FB6E89" w:rsidRPr="00FB6E89" w:rsidTr="00436678">
        <w:trPr>
          <w:trHeight w:val="418"/>
        </w:trPr>
        <w:tc>
          <w:tcPr>
            <w:tcW w:w="1677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 xml:space="preserve">Prihod za posebne </w:t>
            </w:r>
          </w:p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namjene</w:t>
            </w:r>
          </w:p>
        </w:tc>
        <w:tc>
          <w:tcPr>
            <w:tcW w:w="1519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FB6E89" w:rsidP="00560E45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4.</w:t>
            </w:r>
            <w:r w:rsidR="00560E45">
              <w:rPr>
                <w:rFonts w:ascii="Calibri" w:eastAsia="Calibri" w:hAnsi="Calibri"/>
              </w:rPr>
              <w:t>7.</w:t>
            </w:r>
          </w:p>
        </w:tc>
        <w:tc>
          <w:tcPr>
            <w:tcW w:w="1511" w:type="dxa"/>
          </w:tcPr>
          <w:p w:rsidR="00FB6E89" w:rsidRPr="00FB6E89" w:rsidRDefault="00FB6E89" w:rsidP="00763A0A">
            <w:pPr>
              <w:jc w:val="center"/>
              <w:rPr>
                <w:rFonts w:ascii="Calibri" w:eastAsia="Calibri" w:hAnsi="Calibri"/>
              </w:rPr>
            </w:pPr>
          </w:p>
          <w:p w:rsidR="00FB6E89" w:rsidRPr="00FB6E89" w:rsidRDefault="00763A0A" w:rsidP="00763A0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3.125,09</w:t>
            </w:r>
          </w:p>
        </w:tc>
        <w:tc>
          <w:tcPr>
            <w:tcW w:w="1535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560E45" w:rsidP="00FB6E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6.838,88</w:t>
            </w:r>
          </w:p>
        </w:tc>
        <w:tc>
          <w:tcPr>
            <w:tcW w:w="1408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560E45" w:rsidP="00FB6E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5.720,54</w:t>
            </w:r>
          </w:p>
        </w:tc>
        <w:tc>
          <w:tcPr>
            <w:tcW w:w="1412" w:type="dxa"/>
          </w:tcPr>
          <w:p w:rsidR="00FB6E89" w:rsidRPr="00FB6E89" w:rsidRDefault="00FB6E89" w:rsidP="00FB6E89">
            <w:pPr>
              <w:rPr>
                <w:rFonts w:ascii="Calibri" w:eastAsia="Calibri" w:hAnsi="Calibri"/>
              </w:rPr>
            </w:pPr>
          </w:p>
          <w:p w:rsidR="00FB6E89" w:rsidRPr="00FB6E89" w:rsidRDefault="00436678" w:rsidP="00FB6E8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 w:rsidR="00763A0A">
              <w:rPr>
                <w:rFonts w:ascii="Calibri" w:eastAsia="Calibri" w:hAnsi="Calibri"/>
              </w:rPr>
              <w:t>4.243,43</w:t>
            </w:r>
          </w:p>
        </w:tc>
      </w:tr>
      <w:tr w:rsidR="006D7771" w:rsidRPr="00FB6E89" w:rsidTr="00436678">
        <w:trPr>
          <w:trHeight w:val="423"/>
        </w:trPr>
        <w:tc>
          <w:tcPr>
            <w:tcW w:w="1677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Decentralizirana sredstva</w:t>
            </w:r>
          </w:p>
        </w:tc>
        <w:tc>
          <w:tcPr>
            <w:tcW w:w="1519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4.8.</w:t>
            </w:r>
          </w:p>
        </w:tc>
        <w:tc>
          <w:tcPr>
            <w:tcW w:w="1511" w:type="dxa"/>
          </w:tcPr>
          <w:p w:rsidR="006D7771" w:rsidRPr="00FB6E89" w:rsidRDefault="00763A0A" w:rsidP="00763A0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535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87.286,79</w:t>
            </w:r>
          </w:p>
        </w:tc>
        <w:tc>
          <w:tcPr>
            <w:tcW w:w="1408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95.190,53</w:t>
            </w:r>
          </w:p>
        </w:tc>
        <w:tc>
          <w:tcPr>
            <w:tcW w:w="1412" w:type="dxa"/>
          </w:tcPr>
          <w:p w:rsidR="006D7771" w:rsidRPr="00FB6E89" w:rsidRDefault="00763A0A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-7.903,74</w:t>
            </w:r>
          </w:p>
        </w:tc>
      </w:tr>
      <w:tr w:rsidR="006D7771" w:rsidRPr="00FB6E89" w:rsidTr="00436678">
        <w:trPr>
          <w:trHeight w:val="879"/>
        </w:trPr>
        <w:tc>
          <w:tcPr>
            <w:tcW w:w="1677" w:type="dxa"/>
          </w:tcPr>
          <w:p w:rsidR="006D7771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Evropska unija</w:t>
            </w:r>
          </w:p>
        </w:tc>
        <w:tc>
          <w:tcPr>
            <w:tcW w:w="1519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5.1</w:t>
            </w:r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1511" w:type="dxa"/>
          </w:tcPr>
          <w:p w:rsidR="006D7771" w:rsidRPr="00FB6E89" w:rsidRDefault="006D7771" w:rsidP="00763A0A">
            <w:pPr>
              <w:jc w:val="center"/>
              <w:rPr>
                <w:rFonts w:ascii="Calibri" w:eastAsia="Calibri" w:hAnsi="Calibri"/>
              </w:rPr>
            </w:pPr>
          </w:p>
          <w:p w:rsidR="006D7771" w:rsidRPr="00FB6E89" w:rsidRDefault="00763A0A" w:rsidP="00763A0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535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17.483,75</w:t>
            </w:r>
          </w:p>
        </w:tc>
        <w:tc>
          <w:tcPr>
            <w:tcW w:w="1408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20.178,82</w:t>
            </w:r>
          </w:p>
        </w:tc>
        <w:tc>
          <w:tcPr>
            <w:tcW w:w="1412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436678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-</w:t>
            </w:r>
            <w:r w:rsidR="00436678">
              <w:rPr>
                <w:rFonts w:ascii="Calibri" w:eastAsia="Calibri" w:hAnsi="Calibri"/>
              </w:rPr>
              <w:t>2.695,07</w:t>
            </w:r>
          </w:p>
        </w:tc>
      </w:tr>
      <w:tr w:rsidR="006D7771" w:rsidRPr="00FB6E89" w:rsidTr="00436678">
        <w:trPr>
          <w:trHeight w:val="415"/>
        </w:trPr>
        <w:tc>
          <w:tcPr>
            <w:tcW w:w="1677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Ministarstva i državne ustanove za proračunske korisnike</w:t>
            </w:r>
          </w:p>
        </w:tc>
        <w:tc>
          <w:tcPr>
            <w:tcW w:w="1519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5.</w:t>
            </w:r>
            <w:r>
              <w:rPr>
                <w:rFonts w:ascii="Calibri" w:eastAsia="Calibri" w:hAnsi="Calibri"/>
              </w:rPr>
              <w:t>3.</w:t>
            </w:r>
          </w:p>
        </w:tc>
        <w:tc>
          <w:tcPr>
            <w:tcW w:w="1511" w:type="dxa"/>
          </w:tcPr>
          <w:p w:rsidR="006D7771" w:rsidRPr="00FB6E89" w:rsidRDefault="006D7771" w:rsidP="00763A0A">
            <w:pPr>
              <w:jc w:val="center"/>
              <w:rPr>
                <w:rFonts w:ascii="Calibri" w:eastAsia="Calibri" w:hAnsi="Calibri"/>
              </w:rPr>
            </w:pPr>
          </w:p>
          <w:p w:rsidR="006D7771" w:rsidRPr="00FB6E89" w:rsidRDefault="00763A0A" w:rsidP="00763A0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-622,15</w:t>
            </w:r>
          </w:p>
        </w:tc>
        <w:tc>
          <w:tcPr>
            <w:tcW w:w="1535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584.133,58</w:t>
            </w:r>
          </w:p>
        </w:tc>
        <w:tc>
          <w:tcPr>
            <w:tcW w:w="1408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671.565,79</w:t>
            </w:r>
          </w:p>
        </w:tc>
        <w:tc>
          <w:tcPr>
            <w:tcW w:w="1412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436678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-88.054,36</w:t>
            </w:r>
          </w:p>
        </w:tc>
      </w:tr>
      <w:tr w:rsidR="006D7771" w:rsidRPr="00FB6E89" w:rsidTr="00436678">
        <w:trPr>
          <w:trHeight w:val="550"/>
        </w:trPr>
        <w:tc>
          <w:tcPr>
            <w:tcW w:w="1677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Gradovi i općine za proračunske korisnike</w:t>
            </w:r>
          </w:p>
        </w:tc>
        <w:tc>
          <w:tcPr>
            <w:tcW w:w="1519" w:type="dxa"/>
          </w:tcPr>
          <w:p w:rsidR="006D7771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5.5.</w:t>
            </w:r>
          </w:p>
        </w:tc>
        <w:tc>
          <w:tcPr>
            <w:tcW w:w="1511" w:type="dxa"/>
          </w:tcPr>
          <w:p w:rsidR="006D7771" w:rsidRPr="00FB6E89" w:rsidRDefault="006D7771" w:rsidP="00763A0A">
            <w:pPr>
              <w:jc w:val="center"/>
              <w:rPr>
                <w:rFonts w:ascii="Calibri" w:eastAsia="Calibri" w:hAnsi="Calibri"/>
              </w:rPr>
            </w:pPr>
          </w:p>
          <w:p w:rsidR="006D7771" w:rsidRPr="00FB6E89" w:rsidRDefault="00763A0A" w:rsidP="00763A0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1.628,49</w:t>
            </w:r>
          </w:p>
        </w:tc>
        <w:tc>
          <w:tcPr>
            <w:tcW w:w="1535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18.701,30</w:t>
            </w:r>
          </w:p>
        </w:tc>
        <w:tc>
          <w:tcPr>
            <w:tcW w:w="1408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22.706,10</w:t>
            </w:r>
          </w:p>
        </w:tc>
        <w:tc>
          <w:tcPr>
            <w:tcW w:w="1412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436678" w:rsidP="0043667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-2.376,31</w:t>
            </w:r>
          </w:p>
        </w:tc>
      </w:tr>
      <w:tr w:rsidR="006D7771" w:rsidRPr="00FB6E89" w:rsidTr="00436678">
        <w:trPr>
          <w:trHeight w:val="416"/>
        </w:trPr>
        <w:tc>
          <w:tcPr>
            <w:tcW w:w="1677" w:type="dxa"/>
          </w:tcPr>
          <w:p w:rsidR="006D7771" w:rsidRPr="00FB6E89" w:rsidRDefault="00763A0A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Ostale institucije za proračunske korisnike</w:t>
            </w:r>
          </w:p>
        </w:tc>
        <w:tc>
          <w:tcPr>
            <w:tcW w:w="1519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5.8.</w:t>
            </w:r>
          </w:p>
        </w:tc>
        <w:tc>
          <w:tcPr>
            <w:tcW w:w="1511" w:type="dxa"/>
          </w:tcPr>
          <w:p w:rsidR="006D7771" w:rsidRPr="00FB6E89" w:rsidRDefault="006D7771" w:rsidP="00763A0A">
            <w:pPr>
              <w:jc w:val="center"/>
              <w:rPr>
                <w:rFonts w:ascii="Calibri" w:eastAsia="Calibri" w:hAnsi="Calibri"/>
              </w:rPr>
            </w:pPr>
          </w:p>
          <w:p w:rsidR="006D7771" w:rsidRPr="00FB6E89" w:rsidRDefault="006D7771" w:rsidP="00763A0A">
            <w:pPr>
              <w:jc w:val="center"/>
              <w:rPr>
                <w:rFonts w:ascii="Calibri" w:eastAsia="Calibri" w:hAnsi="Calibri"/>
              </w:rPr>
            </w:pPr>
          </w:p>
          <w:p w:rsidR="006D7771" w:rsidRPr="00FB6E89" w:rsidRDefault="006D7771" w:rsidP="00763A0A">
            <w:pPr>
              <w:jc w:val="center"/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0,00</w:t>
            </w:r>
          </w:p>
        </w:tc>
        <w:tc>
          <w:tcPr>
            <w:tcW w:w="1535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15.975,76</w:t>
            </w:r>
          </w:p>
        </w:tc>
        <w:tc>
          <w:tcPr>
            <w:tcW w:w="1408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16.071,08</w:t>
            </w:r>
          </w:p>
        </w:tc>
        <w:tc>
          <w:tcPr>
            <w:tcW w:w="1412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436678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-95,32</w:t>
            </w:r>
          </w:p>
        </w:tc>
      </w:tr>
      <w:tr w:rsidR="006D7771" w:rsidRPr="00FB6E89" w:rsidTr="00436678">
        <w:trPr>
          <w:trHeight w:val="422"/>
        </w:trPr>
        <w:tc>
          <w:tcPr>
            <w:tcW w:w="1677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Donacije</w:t>
            </w:r>
          </w:p>
        </w:tc>
        <w:tc>
          <w:tcPr>
            <w:tcW w:w="1519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 w:rsidRPr="00FB6E89">
              <w:rPr>
                <w:rFonts w:ascii="Calibri" w:eastAsia="Calibri" w:hAnsi="Calibri"/>
              </w:rPr>
              <w:t>6.</w:t>
            </w:r>
            <w:r>
              <w:rPr>
                <w:rFonts w:ascii="Calibri" w:eastAsia="Calibri" w:hAnsi="Calibri"/>
              </w:rPr>
              <w:t>2</w:t>
            </w:r>
            <w:r w:rsidRPr="00FB6E89">
              <w:rPr>
                <w:rFonts w:ascii="Calibri" w:eastAsia="Calibri" w:hAnsi="Calibri"/>
              </w:rPr>
              <w:t>.</w:t>
            </w:r>
          </w:p>
        </w:tc>
        <w:tc>
          <w:tcPr>
            <w:tcW w:w="1511" w:type="dxa"/>
          </w:tcPr>
          <w:p w:rsidR="00436678" w:rsidRDefault="00436678" w:rsidP="00763A0A">
            <w:pPr>
              <w:jc w:val="center"/>
              <w:rPr>
                <w:rFonts w:ascii="Calibri" w:eastAsia="Calibri" w:hAnsi="Calibri"/>
              </w:rPr>
            </w:pPr>
          </w:p>
          <w:p w:rsidR="006D7771" w:rsidRPr="00FB6E89" w:rsidRDefault="00763A0A" w:rsidP="00763A0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846,75</w:t>
            </w:r>
          </w:p>
        </w:tc>
        <w:tc>
          <w:tcPr>
            <w:tcW w:w="1535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100,00</w:t>
            </w:r>
          </w:p>
        </w:tc>
        <w:tc>
          <w:tcPr>
            <w:tcW w:w="1408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465,24</w:t>
            </w:r>
          </w:p>
        </w:tc>
        <w:tc>
          <w:tcPr>
            <w:tcW w:w="1412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  <w:p w:rsidR="006D7771" w:rsidRPr="00FB6E89" w:rsidRDefault="00436678" w:rsidP="006D77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481,51</w:t>
            </w:r>
          </w:p>
        </w:tc>
      </w:tr>
      <w:tr w:rsidR="006D7771" w:rsidRPr="00FB6E89" w:rsidTr="00436678">
        <w:trPr>
          <w:trHeight w:val="419"/>
        </w:trPr>
        <w:tc>
          <w:tcPr>
            <w:tcW w:w="1677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</w:tc>
        <w:tc>
          <w:tcPr>
            <w:tcW w:w="1519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</w:tc>
        <w:tc>
          <w:tcPr>
            <w:tcW w:w="1511" w:type="dxa"/>
          </w:tcPr>
          <w:p w:rsidR="006D7771" w:rsidRPr="00FB6E89" w:rsidRDefault="006D7771" w:rsidP="00763A0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35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</w:tc>
        <w:tc>
          <w:tcPr>
            <w:tcW w:w="1408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</w:tc>
        <w:tc>
          <w:tcPr>
            <w:tcW w:w="1412" w:type="dxa"/>
          </w:tcPr>
          <w:p w:rsidR="006D7771" w:rsidRPr="00FB6E89" w:rsidRDefault="006D7771" w:rsidP="006D7771">
            <w:pPr>
              <w:rPr>
                <w:rFonts w:ascii="Calibri" w:eastAsia="Calibri" w:hAnsi="Calibri"/>
              </w:rPr>
            </w:pPr>
          </w:p>
        </w:tc>
      </w:tr>
      <w:tr w:rsidR="006D7771" w:rsidRPr="00FB6E89" w:rsidTr="00436678">
        <w:trPr>
          <w:trHeight w:val="553"/>
        </w:trPr>
        <w:tc>
          <w:tcPr>
            <w:tcW w:w="1677" w:type="dxa"/>
            <w:shd w:val="clear" w:color="auto" w:fill="D9D9D9" w:themeFill="background1" w:themeFillShade="D9"/>
          </w:tcPr>
          <w:p w:rsidR="006D7771" w:rsidRPr="00FB6E89" w:rsidRDefault="006D7771" w:rsidP="006D7771">
            <w:pPr>
              <w:rPr>
                <w:rFonts w:ascii="Calibri" w:eastAsia="Calibri" w:hAnsi="Calibri"/>
                <w:b/>
                <w:bCs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  <w:b/>
                <w:bCs/>
              </w:rPr>
            </w:pPr>
            <w:r w:rsidRPr="00FB6E89">
              <w:rPr>
                <w:rFonts w:ascii="Calibri" w:eastAsia="Calibri" w:hAnsi="Calibri"/>
                <w:b/>
                <w:bCs/>
              </w:rPr>
              <w:t>UKUPNO: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6D7771" w:rsidRPr="00FB6E89" w:rsidRDefault="006D7771" w:rsidP="006D7771">
            <w:pPr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:rsidR="006D7771" w:rsidRPr="00FB6E89" w:rsidRDefault="006D7771" w:rsidP="006D7771">
            <w:pPr>
              <w:rPr>
                <w:rFonts w:ascii="Calibri" w:eastAsia="Calibri" w:hAnsi="Calibri"/>
                <w:b/>
                <w:bCs/>
              </w:rPr>
            </w:pPr>
          </w:p>
          <w:p w:rsidR="006D7771" w:rsidRPr="00FB6E89" w:rsidRDefault="00763A0A" w:rsidP="00763A0A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    5.290,51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7771" w:rsidRPr="00FB6E89" w:rsidRDefault="006D7771" w:rsidP="006D7771">
            <w:pPr>
              <w:rPr>
                <w:rFonts w:ascii="Calibri" w:eastAsia="Calibri" w:hAnsi="Calibri"/>
                <w:b/>
                <w:bCs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775.312,87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6D7771" w:rsidRPr="00FB6E89" w:rsidRDefault="006D7771" w:rsidP="006D7771">
            <w:pPr>
              <w:rPr>
                <w:rFonts w:ascii="Calibri" w:eastAsia="Calibri" w:hAnsi="Calibri"/>
                <w:b/>
                <w:bCs/>
              </w:rPr>
            </w:pPr>
          </w:p>
          <w:p w:rsidR="006D7771" w:rsidRPr="00FB6E89" w:rsidRDefault="006D7771" w:rsidP="006D7771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883.462,16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6D7771" w:rsidRPr="00FB6E89" w:rsidRDefault="006D7771" w:rsidP="006D7771">
            <w:pPr>
              <w:rPr>
                <w:rFonts w:ascii="Calibri" w:eastAsia="Calibri" w:hAnsi="Calibri"/>
                <w:b/>
                <w:bCs/>
              </w:rPr>
            </w:pPr>
          </w:p>
          <w:p w:rsidR="006D7771" w:rsidRPr="00FB6E89" w:rsidRDefault="00436678" w:rsidP="006D7771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-102.858,78</w:t>
            </w:r>
          </w:p>
        </w:tc>
      </w:tr>
    </w:tbl>
    <w:p w:rsidR="00287518" w:rsidRPr="00416CB2" w:rsidRDefault="00287518" w:rsidP="00B55C79">
      <w:pPr>
        <w:rPr>
          <w:rFonts w:ascii="Arial" w:hAnsi="Arial" w:cs="Arial"/>
        </w:rPr>
      </w:pPr>
    </w:p>
    <w:p w:rsidR="00C3287E" w:rsidRDefault="00B55C79" w:rsidP="00B97D2D">
      <w:pPr>
        <w:spacing w:after="0"/>
        <w:rPr>
          <w:rFonts w:ascii="Arial" w:hAnsi="Arial" w:cs="Arial"/>
        </w:rPr>
      </w:pPr>
      <w:r w:rsidRPr="00416CB2">
        <w:rPr>
          <w:rFonts w:ascii="Arial" w:hAnsi="Arial" w:cs="Arial"/>
        </w:rPr>
        <w:t>01-</w:t>
      </w:r>
      <w:r w:rsidR="00FE2CD1">
        <w:rPr>
          <w:rFonts w:ascii="Arial" w:hAnsi="Arial" w:cs="Arial"/>
        </w:rPr>
        <w:t xml:space="preserve"> </w:t>
      </w:r>
      <w:r w:rsidRPr="00416CB2">
        <w:rPr>
          <w:rFonts w:ascii="Arial" w:hAnsi="Arial" w:cs="Arial"/>
        </w:rPr>
        <w:t>Opći prihodi i primici (</w:t>
      </w:r>
      <w:r w:rsidR="00C3287E">
        <w:rPr>
          <w:rFonts w:ascii="Arial" w:hAnsi="Arial" w:cs="Arial"/>
        </w:rPr>
        <w:t>materijalni troškovi,</w:t>
      </w:r>
      <w:r w:rsidR="002634D0" w:rsidRPr="00416CB2">
        <w:rPr>
          <w:rFonts w:ascii="Arial" w:hAnsi="Arial" w:cs="Arial"/>
        </w:rPr>
        <w:t xml:space="preserve"> zavičajna nastava</w:t>
      </w:r>
      <w:r w:rsidR="00C3287E">
        <w:rPr>
          <w:rFonts w:ascii="Arial" w:hAnsi="Arial" w:cs="Arial"/>
        </w:rPr>
        <w:t xml:space="preserve"> i plaće  </w:t>
      </w:r>
    </w:p>
    <w:p w:rsidR="000E1B4D" w:rsidRDefault="00C3287E" w:rsidP="00B97D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06/2025</w:t>
      </w:r>
      <w:r w:rsidR="000E1B4D">
        <w:rPr>
          <w:rFonts w:ascii="Arial" w:hAnsi="Arial" w:cs="Arial"/>
        </w:rPr>
        <w:t xml:space="preserve"> koje financira istarska županija</w:t>
      </w:r>
      <w:r w:rsidR="00B55C79" w:rsidRPr="00416CB2">
        <w:rPr>
          <w:rFonts w:ascii="Arial" w:hAnsi="Arial" w:cs="Arial"/>
        </w:rPr>
        <w:t xml:space="preserve">) manjak </w:t>
      </w:r>
      <w:r w:rsidR="002634D0" w:rsidRPr="00416CB2">
        <w:rPr>
          <w:rFonts w:ascii="Arial" w:hAnsi="Arial" w:cs="Arial"/>
        </w:rPr>
        <w:t xml:space="preserve"> </w:t>
      </w:r>
      <w:r w:rsidR="00E57F8A">
        <w:rPr>
          <w:rFonts w:ascii="Arial" w:hAnsi="Arial" w:cs="Arial"/>
        </w:rPr>
        <w:t>6.959,21</w:t>
      </w:r>
      <w:r w:rsidR="00B55C79" w:rsidRPr="00416CB2">
        <w:rPr>
          <w:rFonts w:ascii="Arial" w:hAnsi="Arial" w:cs="Arial"/>
        </w:rPr>
        <w:t xml:space="preserve"> EUR očekivana sredstva IŽ u </w:t>
      </w:r>
      <w:r w:rsidR="000E1B4D">
        <w:rPr>
          <w:rFonts w:ascii="Arial" w:hAnsi="Arial" w:cs="Arial"/>
        </w:rPr>
        <w:t xml:space="preserve"> </w:t>
      </w:r>
    </w:p>
    <w:p w:rsidR="00B97D2D" w:rsidRPr="00416CB2" w:rsidRDefault="000E1B4D" w:rsidP="00B97D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55C79" w:rsidRPr="00416CB2">
        <w:rPr>
          <w:rFonts w:ascii="Arial" w:hAnsi="Arial" w:cs="Arial"/>
        </w:rPr>
        <w:t>srpnju  202</w:t>
      </w:r>
      <w:r w:rsidR="00E57F8A">
        <w:rPr>
          <w:rFonts w:ascii="Arial" w:hAnsi="Arial" w:cs="Arial"/>
        </w:rPr>
        <w:t>5</w:t>
      </w:r>
      <w:r w:rsidR="00B55C79" w:rsidRPr="00416CB2">
        <w:rPr>
          <w:rFonts w:ascii="Arial" w:hAnsi="Arial" w:cs="Arial"/>
        </w:rPr>
        <w:t>.godine.</w:t>
      </w:r>
    </w:p>
    <w:p w:rsidR="00B97D2D" w:rsidRPr="00416CB2" w:rsidRDefault="00B55C79" w:rsidP="00B97D2D">
      <w:pPr>
        <w:spacing w:after="0"/>
        <w:rPr>
          <w:rFonts w:ascii="Arial" w:hAnsi="Arial" w:cs="Arial"/>
        </w:rPr>
      </w:pPr>
      <w:r w:rsidRPr="00416CB2">
        <w:rPr>
          <w:rFonts w:ascii="Arial" w:hAnsi="Arial" w:cs="Arial"/>
        </w:rPr>
        <w:t>03-</w:t>
      </w:r>
      <w:r w:rsidR="00FE2CD1">
        <w:rPr>
          <w:rFonts w:ascii="Arial" w:hAnsi="Arial" w:cs="Arial"/>
        </w:rPr>
        <w:t xml:space="preserve"> </w:t>
      </w:r>
      <w:r w:rsidRPr="00416CB2">
        <w:rPr>
          <w:rFonts w:ascii="Arial" w:hAnsi="Arial" w:cs="Arial"/>
        </w:rPr>
        <w:t>Vlastiti prihodi (najam prostora</w:t>
      </w:r>
      <w:r w:rsidR="00E57F8A">
        <w:rPr>
          <w:rFonts w:ascii="Arial" w:hAnsi="Arial" w:cs="Arial"/>
        </w:rPr>
        <w:t xml:space="preserve"> za šahovski klub i izbore</w:t>
      </w:r>
      <w:r w:rsidRPr="00416CB2">
        <w:rPr>
          <w:rFonts w:ascii="Arial" w:hAnsi="Arial" w:cs="Arial"/>
        </w:rPr>
        <w:t>)</w:t>
      </w:r>
      <w:r w:rsidR="00FE2CD1" w:rsidRPr="00FE2CD1">
        <w:rPr>
          <w:rFonts w:ascii="Arial" w:hAnsi="Arial" w:cs="Arial"/>
        </w:rPr>
        <w:t xml:space="preserve"> </w:t>
      </w:r>
      <w:r w:rsidR="00FE2CD1" w:rsidRPr="00416CB2">
        <w:rPr>
          <w:rFonts w:ascii="Arial" w:hAnsi="Arial" w:cs="Arial"/>
        </w:rPr>
        <w:t>višak</w:t>
      </w:r>
      <w:r w:rsidRPr="00416CB2">
        <w:rPr>
          <w:rFonts w:ascii="Arial" w:hAnsi="Arial" w:cs="Arial"/>
        </w:rPr>
        <w:t xml:space="preserve"> u iznosu od </w:t>
      </w:r>
      <w:r w:rsidR="00E57F8A">
        <w:rPr>
          <w:rFonts w:ascii="Arial" w:hAnsi="Arial" w:cs="Arial"/>
        </w:rPr>
        <w:t>500,29</w:t>
      </w:r>
      <w:r w:rsidRPr="00416CB2">
        <w:rPr>
          <w:rFonts w:ascii="Arial" w:hAnsi="Arial" w:cs="Arial"/>
        </w:rPr>
        <w:t xml:space="preserve"> EUR</w:t>
      </w:r>
      <w:r w:rsidR="006244E1">
        <w:rPr>
          <w:rFonts w:ascii="Arial" w:hAnsi="Arial" w:cs="Arial"/>
        </w:rPr>
        <w:t>.</w:t>
      </w:r>
    </w:p>
    <w:p w:rsidR="00FE2CD1" w:rsidRDefault="00B55C79" w:rsidP="00B97D2D">
      <w:pPr>
        <w:spacing w:after="0"/>
        <w:rPr>
          <w:rFonts w:ascii="Arial" w:hAnsi="Arial" w:cs="Arial"/>
        </w:rPr>
      </w:pPr>
      <w:r w:rsidRPr="00416CB2">
        <w:rPr>
          <w:rFonts w:ascii="Arial" w:hAnsi="Arial" w:cs="Arial"/>
        </w:rPr>
        <w:t>04-</w:t>
      </w:r>
      <w:r w:rsidR="00FE2CD1">
        <w:rPr>
          <w:rFonts w:ascii="Arial" w:hAnsi="Arial" w:cs="Arial"/>
        </w:rPr>
        <w:t xml:space="preserve"> </w:t>
      </w:r>
      <w:r w:rsidRPr="00416CB2">
        <w:rPr>
          <w:rFonts w:ascii="Arial" w:hAnsi="Arial" w:cs="Arial"/>
        </w:rPr>
        <w:t>Prihod za posebne namjene</w:t>
      </w:r>
      <w:r w:rsidR="00E57F8A">
        <w:rPr>
          <w:rFonts w:ascii="Arial" w:hAnsi="Arial" w:cs="Arial"/>
        </w:rPr>
        <w:t xml:space="preserve">( </w:t>
      </w:r>
      <w:r w:rsidR="00FE2CD1">
        <w:rPr>
          <w:rFonts w:ascii="Arial" w:hAnsi="Arial" w:cs="Arial"/>
        </w:rPr>
        <w:t xml:space="preserve">decentralizirana sredstva za materijalne rashode, prijevoz   </w:t>
      </w:r>
    </w:p>
    <w:p w:rsidR="00B55C79" w:rsidRPr="00416CB2" w:rsidRDefault="00FE2CD1" w:rsidP="00B97D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učenika i </w:t>
      </w:r>
      <w:r w:rsidR="00E57F8A">
        <w:rPr>
          <w:rFonts w:ascii="Arial" w:hAnsi="Arial" w:cs="Arial"/>
        </w:rPr>
        <w:t>školska kuhinja)</w:t>
      </w:r>
      <w:r w:rsidR="00B55C79" w:rsidRPr="00416C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manjak</w:t>
      </w:r>
      <w:r w:rsidR="00B55C79" w:rsidRPr="00416CB2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3.660,31</w:t>
      </w:r>
      <w:r w:rsidR="00B55C79" w:rsidRPr="00416CB2">
        <w:rPr>
          <w:rFonts w:ascii="Arial" w:hAnsi="Arial" w:cs="Arial"/>
        </w:rPr>
        <w:t xml:space="preserve"> EUR</w:t>
      </w:r>
      <w:r w:rsidR="006244E1">
        <w:rPr>
          <w:rFonts w:ascii="Arial" w:hAnsi="Arial" w:cs="Arial"/>
        </w:rPr>
        <w:t>.</w:t>
      </w:r>
    </w:p>
    <w:p w:rsidR="006244E1" w:rsidRDefault="00B55C79" w:rsidP="00B97D2D">
      <w:pPr>
        <w:spacing w:after="0"/>
        <w:rPr>
          <w:rFonts w:ascii="Arial" w:hAnsi="Arial" w:cs="Arial"/>
        </w:rPr>
      </w:pPr>
      <w:r w:rsidRPr="00416CB2">
        <w:rPr>
          <w:rFonts w:ascii="Arial" w:hAnsi="Arial" w:cs="Arial"/>
        </w:rPr>
        <w:t>05-</w:t>
      </w:r>
      <w:r w:rsidR="00FE2CD1">
        <w:rPr>
          <w:rFonts w:ascii="Arial" w:hAnsi="Arial" w:cs="Arial"/>
        </w:rPr>
        <w:t xml:space="preserve"> </w:t>
      </w:r>
      <w:r w:rsidRPr="00416CB2">
        <w:rPr>
          <w:rFonts w:ascii="Arial" w:hAnsi="Arial" w:cs="Arial"/>
        </w:rPr>
        <w:t>Pomoći korisnika  (pomoći Općina i MZO-prehrana učenika</w:t>
      </w:r>
      <w:r w:rsidR="00B97D2D" w:rsidRPr="00416CB2">
        <w:rPr>
          <w:rFonts w:ascii="Arial" w:hAnsi="Arial" w:cs="Arial"/>
        </w:rPr>
        <w:t xml:space="preserve">, školska shema i </w:t>
      </w:r>
      <w:r w:rsidR="006244E1">
        <w:rPr>
          <w:rFonts w:ascii="Arial" w:hAnsi="Arial" w:cs="Arial"/>
        </w:rPr>
        <w:t xml:space="preserve">  </w:t>
      </w:r>
    </w:p>
    <w:p w:rsidR="00B55C79" w:rsidRPr="00416CB2" w:rsidRDefault="006244E1" w:rsidP="00B97D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2CD1">
        <w:rPr>
          <w:rFonts w:ascii="Arial" w:hAnsi="Arial" w:cs="Arial"/>
        </w:rPr>
        <w:t xml:space="preserve"> plaće za 06/2025</w:t>
      </w:r>
      <w:r w:rsidR="000E1B4D">
        <w:rPr>
          <w:rFonts w:ascii="Arial" w:hAnsi="Arial" w:cs="Arial"/>
        </w:rPr>
        <w:t xml:space="preserve"> koje financiraju Općine i MZOM</w:t>
      </w:r>
      <w:r w:rsidR="00B55C79" w:rsidRPr="00416CB2">
        <w:rPr>
          <w:rFonts w:ascii="Arial" w:hAnsi="Arial" w:cs="Arial"/>
        </w:rPr>
        <w:t xml:space="preserve">) </w:t>
      </w:r>
      <w:r w:rsidR="00FE2CD1">
        <w:rPr>
          <w:rFonts w:ascii="Arial" w:hAnsi="Arial" w:cs="Arial"/>
        </w:rPr>
        <w:t xml:space="preserve">manjak </w:t>
      </w:r>
      <w:r w:rsidR="00B55C79" w:rsidRPr="00416CB2">
        <w:rPr>
          <w:rFonts w:ascii="Arial" w:hAnsi="Arial" w:cs="Arial"/>
        </w:rPr>
        <w:t xml:space="preserve">u </w:t>
      </w:r>
      <w:r w:rsidR="00B97D2D" w:rsidRPr="00416CB2">
        <w:rPr>
          <w:rFonts w:ascii="Arial" w:hAnsi="Arial" w:cs="Arial"/>
        </w:rPr>
        <w:t xml:space="preserve"> </w:t>
      </w:r>
      <w:r w:rsidR="00B55C79" w:rsidRPr="00416CB2">
        <w:rPr>
          <w:rFonts w:ascii="Arial" w:hAnsi="Arial" w:cs="Arial"/>
        </w:rPr>
        <w:t>iznosu od</w:t>
      </w:r>
      <w:r w:rsidR="00B97D2D" w:rsidRPr="00416CB2">
        <w:rPr>
          <w:rFonts w:ascii="Arial" w:hAnsi="Arial" w:cs="Arial"/>
        </w:rPr>
        <w:t xml:space="preserve"> </w:t>
      </w:r>
      <w:r w:rsidR="00B55C79" w:rsidRPr="00416CB2">
        <w:rPr>
          <w:rFonts w:ascii="Arial" w:hAnsi="Arial" w:cs="Arial"/>
        </w:rPr>
        <w:t>-</w:t>
      </w:r>
      <w:r w:rsidR="007E24ED">
        <w:rPr>
          <w:rFonts w:ascii="Arial" w:hAnsi="Arial" w:cs="Arial"/>
        </w:rPr>
        <w:t>93.221,06</w:t>
      </w:r>
      <w:r w:rsidR="00B55C79" w:rsidRPr="00416CB2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:rsidR="00B55C79" w:rsidRPr="00416CB2" w:rsidRDefault="00B55C79" w:rsidP="00B97D2D">
      <w:pPr>
        <w:spacing w:after="0"/>
        <w:rPr>
          <w:rFonts w:ascii="Arial" w:hAnsi="Arial" w:cs="Arial"/>
        </w:rPr>
      </w:pPr>
      <w:r w:rsidRPr="00416CB2">
        <w:rPr>
          <w:rFonts w:ascii="Arial" w:hAnsi="Arial" w:cs="Arial"/>
        </w:rPr>
        <w:t xml:space="preserve">06- Donacije- višak u iznosu od </w:t>
      </w:r>
      <w:r w:rsidR="00FE2CD1">
        <w:rPr>
          <w:rFonts w:ascii="Arial" w:hAnsi="Arial" w:cs="Arial"/>
        </w:rPr>
        <w:t>481,51</w:t>
      </w:r>
      <w:r w:rsidRPr="00416CB2">
        <w:rPr>
          <w:rFonts w:ascii="Arial" w:hAnsi="Arial" w:cs="Arial"/>
        </w:rPr>
        <w:t xml:space="preserve"> EUR</w:t>
      </w:r>
      <w:r w:rsidR="006244E1">
        <w:rPr>
          <w:rFonts w:ascii="Arial" w:hAnsi="Arial" w:cs="Arial"/>
        </w:rPr>
        <w:t>.</w:t>
      </w:r>
    </w:p>
    <w:p w:rsidR="00B55C79" w:rsidRDefault="00B55C79" w:rsidP="00B55C79"/>
    <w:p w:rsidR="003000AB" w:rsidRDefault="003000AB" w:rsidP="00696B9C">
      <w:pPr>
        <w:spacing w:line="276" w:lineRule="auto"/>
        <w:rPr>
          <w:rFonts w:ascii="Arial" w:hAnsi="Arial" w:cs="Arial"/>
          <w:b/>
        </w:rPr>
      </w:pPr>
    </w:p>
    <w:p w:rsidR="003000AB" w:rsidRDefault="003000AB" w:rsidP="00696B9C">
      <w:pPr>
        <w:spacing w:line="276" w:lineRule="auto"/>
        <w:rPr>
          <w:rFonts w:ascii="Arial" w:hAnsi="Arial" w:cs="Arial"/>
          <w:b/>
        </w:rPr>
      </w:pPr>
    </w:p>
    <w:p w:rsidR="00696B9C" w:rsidRDefault="00696B9C" w:rsidP="00696B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1.6. Stanje novčanih sredstava: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8"/>
      </w:tblGrid>
      <w:tr w:rsidR="00696B9C" w:rsidTr="00696B9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Default="00696B9C" w:rsidP="00EF3F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 novčanih sredstava na početku proračunske godine 01.01.202</w:t>
            </w:r>
            <w:r w:rsidR="00EF3F8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.god.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Default="00696B9C" w:rsidP="007E24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 novčanih sredstava na kraju proračunske godine 30.06.202</w:t>
            </w:r>
            <w:r w:rsidR="007E24E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.god.</w:t>
            </w:r>
          </w:p>
        </w:tc>
      </w:tr>
      <w:tr w:rsidR="00696B9C" w:rsidTr="00416CB2">
        <w:trPr>
          <w:trHeight w:val="41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Default="00696B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96B9C" w:rsidRDefault="00EF3F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31.205,74</w:t>
            </w:r>
            <w:r w:rsidR="00696B9C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Default="00696B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96B9C" w:rsidRDefault="00EF3F8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8.094,26</w:t>
            </w:r>
            <w:r w:rsidR="00696B9C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</w:tbl>
    <w:p w:rsidR="00696B9C" w:rsidRDefault="00696B9C" w:rsidP="00696B9C">
      <w:pPr>
        <w:spacing w:line="276" w:lineRule="auto"/>
        <w:rPr>
          <w:rFonts w:ascii="Arial" w:hAnsi="Arial" w:cs="Arial"/>
          <w:sz w:val="20"/>
          <w:szCs w:val="20"/>
        </w:rPr>
      </w:pPr>
    </w:p>
    <w:p w:rsidR="00F2692C" w:rsidRDefault="001C7C21" w:rsidP="00F2692C">
      <w:pPr>
        <w:spacing w:after="0"/>
        <w:jc w:val="both"/>
        <w:rPr>
          <w:rFonts w:ascii="Arial" w:eastAsia="Calibri" w:hAnsi="Arial" w:cs="Arial"/>
          <w:b/>
          <w:color w:val="000000"/>
        </w:rPr>
      </w:pPr>
      <w:r w:rsidRPr="001C7C21">
        <w:rPr>
          <w:rFonts w:ascii="Arial" w:hAnsi="Arial" w:cs="Arial"/>
          <w:b/>
        </w:rPr>
        <w:t>1.7</w:t>
      </w:r>
      <w:r w:rsidR="00F2692C" w:rsidRPr="00F2692C">
        <w:rPr>
          <w:rFonts w:ascii="Arial" w:eastAsia="Calibri" w:hAnsi="Arial" w:cs="Arial"/>
          <w:b/>
          <w:color w:val="000000"/>
        </w:rPr>
        <w:t xml:space="preserve"> </w:t>
      </w:r>
      <w:r w:rsidR="00F2692C" w:rsidRPr="00CC548F">
        <w:rPr>
          <w:rFonts w:ascii="Arial" w:eastAsia="Calibri" w:hAnsi="Arial" w:cs="Arial"/>
          <w:b/>
          <w:color w:val="000000"/>
        </w:rPr>
        <w:t>Izvještaj o stanju potraživanja i dospjelih obveza te o stanju potencijalnih obaveza</w:t>
      </w:r>
    </w:p>
    <w:p w:rsidR="00F2692C" w:rsidRPr="001C7C21" w:rsidRDefault="00F2692C" w:rsidP="00F2692C">
      <w:pPr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color w:val="000000"/>
        </w:rPr>
        <w:t xml:space="preserve">     </w:t>
      </w:r>
      <w:r w:rsidRPr="00CC548F">
        <w:rPr>
          <w:rFonts w:ascii="Arial" w:eastAsia="Calibri" w:hAnsi="Arial" w:cs="Arial"/>
          <w:b/>
          <w:color w:val="000000"/>
        </w:rPr>
        <w:t xml:space="preserve"> po sudskim sporo</w:t>
      </w:r>
      <w:r>
        <w:rPr>
          <w:rFonts w:ascii="Arial" w:eastAsia="Calibri" w:hAnsi="Arial" w:cs="Arial"/>
          <w:b/>
          <w:color w:val="000000"/>
        </w:rPr>
        <w:t>v</w:t>
      </w:r>
      <w:r w:rsidRPr="00CC548F">
        <w:rPr>
          <w:rFonts w:ascii="Arial" w:eastAsia="Calibri" w:hAnsi="Arial" w:cs="Arial"/>
          <w:b/>
          <w:color w:val="000000"/>
        </w:rPr>
        <w:t>ima</w:t>
      </w:r>
    </w:p>
    <w:p w:rsidR="00F2692C" w:rsidRDefault="00F2692C" w:rsidP="00F269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C7C21" w:rsidRPr="001C7C21">
        <w:rPr>
          <w:rFonts w:ascii="Arial" w:hAnsi="Arial" w:cs="Arial"/>
        </w:rPr>
        <w:t xml:space="preserve">Stanje obveza 1.siječnja koje su prenesene iz prošle godine iznose 112.906,54 EUR, a </w:t>
      </w:r>
      <w:r>
        <w:rPr>
          <w:rFonts w:ascii="Arial" w:hAnsi="Arial" w:cs="Arial"/>
        </w:rPr>
        <w:t xml:space="preserve"> </w:t>
      </w:r>
    </w:p>
    <w:p w:rsidR="001C7C21" w:rsidRPr="001C7C21" w:rsidRDefault="00F2692C" w:rsidP="00F269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C7C21" w:rsidRPr="001C7C21">
        <w:rPr>
          <w:rFonts w:ascii="Arial" w:hAnsi="Arial" w:cs="Arial"/>
        </w:rPr>
        <w:t>najvećim djelom se odnose na nepodmirene obveze za plaću za 12.mjesec 2024.godine.</w:t>
      </w:r>
    </w:p>
    <w:p w:rsidR="00F2692C" w:rsidRDefault="00F2692C" w:rsidP="00F269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C7C21" w:rsidRPr="001C7C21">
        <w:rPr>
          <w:rFonts w:ascii="Arial" w:hAnsi="Arial" w:cs="Arial"/>
        </w:rPr>
        <w:t xml:space="preserve">Na dan 30.06.2025.godine nema dospjelih obaveza. Sve obveze koje su dospjele u </w:t>
      </w:r>
      <w:r>
        <w:rPr>
          <w:rFonts w:ascii="Arial" w:hAnsi="Arial" w:cs="Arial"/>
        </w:rPr>
        <w:t xml:space="preserve"> </w:t>
      </w:r>
    </w:p>
    <w:p w:rsidR="001C7C21" w:rsidRPr="001C7C21" w:rsidRDefault="00F2692C" w:rsidP="00F269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C7C21" w:rsidRPr="001C7C21">
        <w:rPr>
          <w:rFonts w:ascii="Arial" w:hAnsi="Arial" w:cs="Arial"/>
        </w:rPr>
        <w:t>promatranom izvještajnom razdoblju su i podmirene.</w:t>
      </w:r>
    </w:p>
    <w:p w:rsidR="00F2692C" w:rsidRDefault="00F2692C" w:rsidP="00F269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C7C21" w:rsidRPr="001C7C21">
        <w:rPr>
          <w:rFonts w:ascii="Arial" w:hAnsi="Arial" w:cs="Arial"/>
        </w:rPr>
        <w:t xml:space="preserve">Stanje ukupnih a nedospjelih obveza na kraju izvještajnog razdoblja 2025.god iznosi  </w:t>
      </w:r>
    </w:p>
    <w:p w:rsidR="001C7C21" w:rsidRPr="001C7C21" w:rsidRDefault="00F2692C" w:rsidP="00F269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C7C21" w:rsidRPr="001C7C21">
        <w:rPr>
          <w:rFonts w:ascii="Arial" w:hAnsi="Arial" w:cs="Arial"/>
        </w:rPr>
        <w:t>113.404,17 EUR a odnosi se na:</w:t>
      </w:r>
    </w:p>
    <w:p w:rsidR="001C7C21" w:rsidRPr="001C7C21" w:rsidRDefault="001C7C21" w:rsidP="00F2692C">
      <w:pPr>
        <w:spacing w:after="0" w:line="240" w:lineRule="auto"/>
        <w:jc w:val="both"/>
        <w:rPr>
          <w:rFonts w:ascii="Arial" w:hAnsi="Arial" w:cs="Arial"/>
        </w:rPr>
      </w:pPr>
      <w:r w:rsidRPr="001C7C21">
        <w:rPr>
          <w:rFonts w:ascii="Arial" w:hAnsi="Arial" w:cs="Arial"/>
        </w:rPr>
        <w:t xml:space="preserve"> - obveze za zaposlene u iznosu od 97.156,77 EUR (plaća za lipanj 2025.god.koje se isplaćuju   </w:t>
      </w:r>
    </w:p>
    <w:p w:rsidR="001C7C21" w:rsidRPr="001C7C21" w:rsidRDefault="001C7C21" w:rsidP="00F2692C">
      <w:pPr>
        <w:spacing w:after="0" w:line="240" w:lineRule="auto"/>
        <w:jc w:val="both"/>
        <w:rPr>
          <w:rFonts w:ascii="Arial" w:hAnsi="Arial" w:cs="Arial"/>
        </w:rPr>
      </w:pPr>
      <w:r w:rsidRPr="001C7C21">
        <w:rPr>
          <w:rFonts w:ascii="Arial" w:hAnsi="Arial" w:cs="Arial"/>
        </w:rPr>
        <w:t xml:space="preserve">    u 07/2025.godine);</w:t>
      </w:r>
    </w:p>
    <w:p w:rsidR="001C7C21" w:rsidRPr="001C7C21" w:rsidRDefault="001C7C21" w:rsidP="00F2692C">
      <w:pPr>
        <w:spacing w:after="0" w:line="240" w:lineRule="auto"/>
        <w:jc w:val="both"/>
        <w:rPr>
          <w:rFonts w:ascii="Arial" w:hAnsi="Arial" w:cs="Arial"/>
        </w:rPr>
      </w:pPr>
      <w:r w:rsidRPr="001C7C21">
        <w:rPr>
          <w:rFonts w:ascii="Arial" w:hAnsi="Arial" w:cs="Arial"/>
        </w:rPr>
        <w:t xml:space="preserve"> - obveze za materijalne rashode 4.431,30 EUR s dospijećem do kraja srpnja 2025.godine.</w:t>
      </w:r>
    </w:p>
    <w:p w:rsidR="001C7C21" w:rsidRPr="001C7C21" w:rsidRDefault="001C7C21" w:rsidP="00F2692C">
      <w:pPr>
        <w:spacing w:after="0" w:line="240" w:lineRule="auto"/>
        <w:jc w:val="both"/>
        <w:rPr>
          <w:rFonts w:ascii="Arial" w:hAnsi="Arial" w:cs="Arial"/>
        </w:rPr>
      </w:pPr>
      <w:r w:rsidRPr="001C7C21">
        <w:rPr>
          <w:rFonts w:ascii="Arial" w:hAnsi="Arial" w:cs="Arial"/>
        </w:rPr>
        <w:t xml:space="preserve"> - obveze za financijske rashode 86,47 EUR  s dospijećem do kraja srpnja 2025.godine, </w:t>
      </w:r>
    </w:p>
    <w:p w:rsidR="001C7C21" w:rsidRPr="001C7C21" w:rsidRDefault="001C7C21" w:rsidP="00F2692C">
      <w:pPr>
        <w:spacing w:after="0" w:line="240" w:lineRule="auto"/>
        <w:jc w:val="both"/>
        <w:rPr>
          <w:rFonts w:ascii="Arial" w:hAnsi="Arial" w:cs="Arial"/>
        </w:rPr>
      </w:pPr>
      <w:r w:rsidRPr="001C7C21">
        <w:rPr>
          <w:rFonts w:ascii="Arial" w:hAnsi="Arial" w:cs="Arial"/>
        </w:rPr>
        <w:t xml:space="preserve">    odnose se za naknadu za platni promet.</w:t>
      </w:r>
    </w:p>
    <w:p w:rsidR="001C7C21" w:rsidRPr="001C7C21" w:rsidRDefault="001C7C21" w:rsidP="00F2692C">
      <w:pPr>
        <w:spacing w:after="0" w:line="240" w:lineRule="auto"/>
        <w:jc w:val="both"/>
        <w:rPr>
          <w:rFonts w:ascii="Arial" w:hAnsi="Arial" w:cs="Arial"/>
        </w:rPr>
      </w:pPr>
      <w:r w:rsidRPr="001C7C21">
        <w:rPr>
          <w:rFonts w:ascii="Arial" w:hAnsi="Arial" w:cs="Arial"/>
        </w:rPr>
        <w:t xml:space="preserve"> - obaveze za naknade građanima-prijevoz( Školski sportski savez) 141,10 EUR koji </w:t>
      </w:r>
    </w:p>
    <w:p w:rsidR="001C7C21" w:rsidRPr="001C7C21" w:rsidRDefault="001C7C21" w:rsidP="00F2692C">
      <w:pPr>
        <w:spacing w:after="0" w:line="240" w:lineRule="auto"/>
        <w:jc w:val="both"/>
        <w:rPr>
          <w:rFonts w:ascii="Arial" w:hAnsi="Arial" w:cs="Arial"/>
        </w:rPr>
      </w:pPr>
      <w:r w:rsidRPr="001C7C21">
        <w:rPr>
          <w:rFonts w:ascii="Arial" w:hAnsi="Arial" w:cs="Arial"/>
        </w:rPr>
        <w:t xml:space="preserve">   dospijeva u 07/2025.</w:t>
      </w:r>
    </w:p>
    <w:p w:rsidR="001C7C21" w:rsidRPr="001C7C21" w:rsidRDefault="001C7C21" w:rsidP="00F2692C">
      <w:pPr>
        <w:spacing w:after="0" w:line="240" w:lineRule="auto"/>
        <w:jc w:val="both"/>
        <w:rPr>
          <w:rFonts w:ascii="Arial" w:hAnsi="Arial" w:cs="Arial"/>
        </w:rPr>
      </w:pPr>
      <w:r w:rsidRPr="001C7C21">
        <w:rPr>
          <w:rFonts w:ascii="Arial" w:hAnsi="Arial" w:cs="Arial"/>
        </w:rPr>
        <w:t xml:space="preserve"> - obaveze za primljena sredstva od HZZ-a za plaće pripravnika u razdoblju od 07/2025 do </w:t>
      </w:r>
    </w:p>
    <w:p w:rsidR="001C7C21" w:rsidRPr="001C7C21" w:rsidRDefault="001C7C21" w:rsidP="00F2692C">
      <w:pPr>
        <w:spacing w:after="0" w:line="240" w:lineRule="auto"/>
        <w:jc w:val="both"/>
        <w:rPr>
          <w:rFonts w:ascii="Arial" w:hAnsi="Arial" w:cs="Arial"/>
        </w:rPr>
      </w:pPr>
      <w:r w:rsidRPr="001C7C21">
        <w:rPr>
          <w:rFonts w:ascii="Arial" w:hAnsi="Arial" w:cs="Arial"/>
        </w:rPr>
        <w:t xml:space="preserve">   11/2025.godine.u iznosu od 9.379,84 EUR</w:t>
      </w:r>
    </w:p>
    <w:p w:rsidR="001C7C21" w:rsidRDefault="00050F6A" w:rsidP="00F269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obaveze za</w:t>
      </w:r>
      <w:bookmarkStart w:id="0" w:name="_GoBack"/>
      <w:bookmarkEnd w:id="0"/>
      <w:r w:rsidR="001C7C21" w:rsidRPr="001C7C21">
        <w:rPr>
          <w:rFonts w:ascii="Arial" w:hAnsi="Arial" w:cs="Arial"/>
        </w:rPr>
        <w:t xml:space="preserve"> bolovanje HZZO 2.208,69 EUR</w:t>
      </w:r>
    </w:p>
    <w:p w:rsidR="00F2692C" w:rsidRPr="001C7C21" w:rsidRDefault="00F2692C" w:rsidP="00F2692C">
      <w:pPr>
        <w:spacing w:after="0" w:line="240" w:lineRule="auto"/>
        <w:jc w:val="both"/>
        <w:rPr>
          <w:rFonts w:ascii="Arial" w:hAnsi="Arial" w:cs="Arial"/>
        </w:rPr>
      </w:pPr>
    </w:p>
    <w:p w:rsidR="00F2692C" w:rsidRDefault="00F2692C" w:rsidP="00F269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Stanje ukupnih potraživanja na kraju izvještajnog razdoblja 2025.god.iznosi 103.251,35  </w:t>
      </w:r>
    </w:p>
    <w:p w:rsidR="00F2692C" w:rsidRDefault="00F2692C" w:rsidP="00F269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EUR, a odnose se na potraživanje za plaće za 06/2025 koje će se isplatit u 07/2025, zatim  </w:t>
      </w:r>
    </w:p>
    <w:p w:rsidR="00F2692C" w:rsidRDefault="00F2692C" w:rsidP="00F269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potraživanje za školsku shemu, topli obrok od roditelja za učenike u produženom boravku i </w:t>
      </w:r>
    </w:p>
    <w:p w:rsidR="00F2692C" w:rsidRDefault="00F2692C" w:rsidP="00F269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potraživanje od Općina za najam za glazbenu školu.</w:t>
      </w:r>
    </w:p>
    <w:p w:rsidR="00F2692C" w:rsidRDefault="00F2692C" w:rsidP="00F2692C">
      <w:pPr>
        <w:spacing w:after="0"/>
        <w:jc w:val="both"/>
        <w:rPr>
          <w:rFonts w:ascii="Arial" w:hAnsi="Arial" w:cs="Arial"/>
        </w:rPr>
      </w:pPr>
    </w:p>
    <w:p w:rsidR="00F2692C" w:rsidRDefault="00F2692C" w:rsidP="00F269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269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Obaveze po osnovi sudskih sporova</w:t>
      </w:r>
      <w:r w:rsidRPr="006A3B46">
        <w:rPr>
          <w:rFonts w:ascii="Arial" w:hAnsi="Arial" w:cs="Arial"/>
        </w:rPr>
        <w:t xml:space="preserve"> nemamo u ovom izvještajnom razdoblju</w:t>
      </w:r>
      <w:r>
        <w:rPr>
          <w:rFonts w:ascii="Arial" w:hAnsi="Arial" w:cs="Arial"/>
        </w:rPr>
        <w:t>.</w:t>
      </w:r>
    </w:p>
    <w:p w:rsidR="001C7C21" w:rsidRDefault="001C7C21" w:rsidP="00696B9C">
      <w:pPr>
        <w:spacing w:line="276" w:lineRule="auto"/>
        <w:rPr>
          <w:rFonts w:ascii="Arial" w:hAnsi="Arial" w:cs="Arial"/>
          <w:sz w:val="20"/>
          <w:szCs w:val="20"/>
        </w:rPr>
      </w:pPr>
    </w:p>
    <w:p w:rsidR="00A15D58" w:rsidRDefault="00A15D58" w:rsidP="00A15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KLASA:400-01/2</w:t>
      </w:r>
      <w:r w:rsidR="00F2692C">
        <w:rPr>
          <w:rFonts w:ascii="Arial" w:hAnsi="Arial" w:cs="Arial"/>
        </w:rPr>
        <w:t>5</w:t>
      </w:r>
      <w:r>
        <w:rPr>
          <w:rFonts w:ascii="Arial" w:hAnsi="Arial" w:cs="Arial"/>
        </w:rPr>
        <w:t>-01/0</w:t>
      </w:r>
      <w:r w:rsidR="00846B28">
        <w:rPr>
          <w:rFonts w:ascii="Arial" w:hAnsi="Arial" w:cs="Arial"/>
        </w:rPr>
        <w:t>3</w:t>
      </w:r>
    </w:p>
    <w:p w:rsidR="00A15D58" w:rsidRDefault="00A15D58" w:rsidP="00A15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2144-20-01-2</w:t>
      </w:r>
      <w:r w:rsidR="00F2692C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846B28">
        <w:rPr>
          <w:rFonts w:ascii="Arial" w:hAnsi="Arial" w:cs="Arial"/>
        </w:rPr>
        <w:t>2</w:t>
      </w:r>
    </w:p>
    <w:p w:rsidR="00A15D58" w:rsidRDefault="00A15D58" w:rsidP="00A15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Ravnateljica:</w:t>
      </w:r>
    </w:p>
    <w:p w:rsidR="00A15D58" w:rsidRPr="0028387F" w:rsidRDefault="00A15D58" w:rsidP="00A15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mr.sc.Nada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Peršić</w:t>
      </w:r>
      <w:proofErr w:type="spellEnd"/>
      <w:r>
        <w:rPr>
          <w:rFonts w:ascii="Arial" w:hAnsi="Arial" w:cs="Arial"/>
        </w:rPr>
        <w:t>, prof.</w:t>
      </w:r>
    </w:p>
    <w:p w:rsidR="00A15D58" w:rsidRDefault="00A15D58" w:rsidP="00A15D58">
      <w:pPr>
        <w:jc w:val="both"/>
        <w:rPr>
          <w:rFonts w:ascii="Arial" w:hAnsi="Arial" w:cs="Arial"/>
        </w:rPr>
      </w:pPr>
    </w:p>
    <w:p w:rsidR="00A15D58" w:rsidRPr="0028387F" w:rsidRDefault="00A15D58" w:rsidP="00A15D58">
      <w:pPr>
        <w:jc w:val="both"/>
        <w:rPr>
          <w:rFonts w:ascii="Arial" w:hAnsi="Arial" w:cs="Arial"/>
        </w:rPr>
      </w:pPr>
      <w:r w:rsidRPr="0028387F">
        <w:rPr>
          <w:rFonts w:ascii="Arial" w:hAnsi="Arial" w:cs="Arial"/>
        </w:rPr>
        <w:t xml:space="preserve">U </w:t>
      </w:r>
      <w:proofErr w:type="spellStart"/>
      <w:r w:rsidRPr="0028387F">
        <w:rPr>
          <w:rFonts w:ascii="Arial" w:hAnsi="Arial" w:cs="Arial"/>
        </w:rPr>
        <w:t>Potpićnu</w:t>
      </w:r>
      <w:proofErr w:type="spellEnd"/>
      <w:r w:rsidRPr="002838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__________.202</w:t>
      </w:r>
      <w:r w:rsidR="00F2692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28387F">
        <w:rPr>
          <w:rFonts w:ascii="Arial" w:hAnsi="Arial" w:cs="Arial"/>
        </w:rPr>
        <w:t xml:space="preserve">                                                                      </w:t>
      </w:r>
    </w:p>
    <w:p w:rsidR="00B40892" w:rsidRDefault="00050F6A"/>
    <w:sectPr w:rsidR="00B4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44EB"/>
    <w:multiLevelType w:val="hybridMultilevel"/>
    <w:tmpl w:val="C540E5BA"/>
    <w:lvl w:ilvl="0" w:tplc="6C383008">
      <w:start w:val="1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79"/>
    <w:rsid w:val="00050F6A"/>
    <w:rsid w:val="000E1B4D"/>
    <w:rsid w:val="001621CD"/>
    <w:rsid w:val="00190825"/>
    <w:rsid w:val="001C7C21"/>
    <w:rsid w:val="001F2090"/>
    <w:rsid w:val="00234E07"/>
    <w:rsid w:val="00244BF3"/>
    <w:rsid w:val="002613CC"/>
    <w:rsid w:val="002634D0"/>
    <w:rsid w:val="00287518"/>
    <w:rsid w:val="00291835"/>
    <w:rsid w:val="002B0216"/>
    <w:rsid w:val="002B0647"/>
    <w:rsid w:val="002C6379"/>
    <w:rsid w:val="002D1CAD"/>
    <w:rsid w:val="002E5637"/>
    <w:rsid w:val="003000AB"/>
    <w:rsid w:val="00323E25"/>
    <w:rsid w:val="003B1547"/>
    <w:rsid w:val="003F3B75"/>
    <w:rsid w:val="00416CB2"/>
    <w:rsid w:val="00436678"/>
    <w:rsid w:val="00452102"/>
    <w:rsid w:val="0045381E"/>
    <w:rsid w:val="00454725"/>
    <w:rsid w:val="00467CCF"/>
    <w:rsid w:val="0048156A"/>
    <w:rsid w:val="00481816"/>
    <w:rsid w:val="004B5489"/>
    <w:rsid w:val="004C625E"/>
    <w:rsid w:val="00501B3E"/>
    <w:rsid w:val="00525603"/>
    <w:rsid w:val="00535DFC"/>
    <w:rsid w:val="0054407D"/>
    <w:rsid w:val="00557447"/>
    <w:rsid w:val="00560E45"/>
    <w:rsid w:val="005825CB"/>
    <w:rsid w:val="005A3A37"/>
    <w:rsid w:val="006244E1"/>
    <w:rsid w:val="00641B27"/>
    <w:rsid w:val="00696B9C"/>
    <w:rsid w:val="006D5DC5"/>
    <w:rsid w:val="006D7771"/>
    <w:rsid w:val="006E0D5C"/>
    <w:rsid w:val="006F062C"/>
    <w:rsid w:val="007452B6"/>
    <w:rsid w:val="00760B64"/>
    <w:rsid w:val="00763A0A"/>
    <w:rsid w:val="00794FEA"/>
    <w:rsid w:val="007C662C"/>
    <w:rsid w:val="007E24ED"/>
    <w:rsid w:val="00846B28"/>
    <w:rsid w:val="008B00FE"/>
    <w:rsid w:val="00942A41"/>
    <w:rsid w:val="00960809"/>
    <w:rsid w:val="009C2501"/>
    <w:rsid w:val="009C6468"/>
    <w:rsid w:val="00A13676"/>
    <w:rsid w:val="00A15D58"/>
    <w:rsid w:val="00A80FAB"/>
    <w:rsid w:val="00A95961"/>
    <w:rsid w:val="00AF6174"/>
    <w:rsid w:val="00B22AA0"/>
    <w:rsid w:val="00B454B6"/>
    <w:rsid w:val="00B4673E"/>
    <w:rsid w:val="00B51472"/>
    <w:rsid w:val="00B55C79"/>
    <w:rsid w:val="00B574D6"/>
    <w:rsid w:val="00B921A1"/>
    <w:rsid w:val="00B97D2D"/>
    <w:rsid w:val="00BA611E"/>
    <w:rsid w:val="00BF51BF"/>
    <w:rsid w:val="00C06848"/>
    <w:rsid w:val="00C3287E"/>
    <w:rsid w:val="00C96C65"/>
    <w:rsid w:val="00D35F5D"/>
    <w:rsid w:val="00D7041A"/>
    <w:rsid w:val="00D8475A"/>
    <w:rsid w:val="00DD5FF8"/>
    <w:rsid w:val="00DF7310"/>
    <w:rsid w:val="00E469A0"/>
    <w:rsid w:val="00E57F8A"/>
    <w:rsid w:val="00E67931"/>
    <w:rsid w:val="00E73624"/>
    <w:rsid w:val="00E7403F"/>
    <w:rsid w:val="00E826E2"/>
    <w:rsid w:val="00EF3F81"/>
    <w:rsid w:val="00EF6344"/>
    <w:rsid w:val="00F22A1E"/>
    <w:rsid w:val="00F248F2"/>
    <w:rsid w:val="00F2692C"/>
    <w:rsid w:val="00F566D6"/>
    <w:rsid w:val="00F67B56"/>
    <w:rsid w:val="00F81D8E"/>
    <w:rsid w:val="00FB6E89"/>
    <w:rsid w:val="00FE2CD1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DF361-25C9-476D-B98F-5B84663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3E2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Reetkatablice">
    <w:name w:val="Table Grid"/>
    <w:basedOn w:val="Obinatablica"/>
    <w:rsid w:val="00696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B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6</cp:revision>
  <dcterms:created xsi:type="dcterms:W3CDTF">2025-07-16T12:28:00Z</dcterms:created>
  <dcterms:modified xsi:type="dcterms:W3CDTF">2025-07-22T18:43:00Z</dcterms:modified>
</cp:coreProperties>
</file>